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DD9C" w14:textId="77777777" w:rsidR="00941484" w:rsidRPr="00AA6DE3" w:rsidRDefault="00941484" w:rsidP="00941484">
      <w:pPr>
        <w:pStyle w:val="Title"/>
        <w:jc w:val="center"/>
        <w:rPr>
          <w:rFonts w:ascii="Montserrat" w:hAnsi="Montserrat"/>
          <w:b/>
          <w:bCs/>
          <w:sz w:val="40"/>
          <w:szCs w:val="40"/>
        </w:rPr>
      </w:pPr>
      <w:r w:rsidRPr="00AA6DE3">
        <w:rPr>
          <w:rFonts w:ascii="Montserrat" w:hAnsi="Montserrat"/>
          <w:b/>
          <w:bCs/>
          <w:sz w:val="40"/>
          <w:szCs w:val="40"/>
        </w:rPr>
        <w:t>CAS SELF-ASSESSMENT TEAM PROCESS OVERVIEW</w:t>
      </w:r>
    </w:p>
    <w:p w14:paraId="7BB12224" w14:textId="77777777" w:rsidR="00941484" w:rsidRPr="00941484" w:rsidRDefault="00941484" w:rsidP="00941484"/>
    <w:p w14:paraId="1408C390" w14:textId="77777777" w:rsidR="00941484" w:rsidRDefault="00941484" w:rsidP="00941484">
      <w:pPr>
        <w:rPr>
          <w:rFonts w:ascii="Fira Sans Light" w:hAnsi="Fira Sans Light" w:cstheme="majorHAnsi"/>
          <w:sz w:val="24"/>
          <w:szCs w:val="24"/>
        </w:rPr>
      </w:pPr>
      <w:r w:rsidRPr="00AA6DE3">
        <w:rPr>
          <w:rStyle w:val="Heading1Char"/>
          <w:rFonts w:ascii="Fira Sans Light" w:hAnsi="Fira Sans Light"/>
          <w:b/>
          <w:bCs/>
          <w:sz w:val="24"/>
          <w:szCs w:val="24"/>
        </w:rPr>
        <w:t xml:space="preserve">About CAS: </w:t>
      </w:r>
      <w:r w:rsidRPr="00941484">
        <w:rPr>
          <w:rFonts w:ascii="Fira Sans Light" w:hAnsi="Fira Sans Light" w:cstheme="majorHAnsi"/>
          <w:sz w:val="24"/>
          <w:szCs w:val="24"/>
        </w:rPr>
        <w:t xml:space="preserve">“Founded in 1979, the Council for the Advancement of Standards in Higher Education (CAS) is the pre-eminent force for promoting standards in student affairs, student services, and student development programs.” For more information, visit </w:t>
      </w:r>
      <w:hyperlink r:id="rId5" w:history="1">
        <w:r w:rsidRPr="00941484">
          <w:rPr>
            <w:rStyle w:val="Hyperlink"/>
            <w:rFonts w:ascii="Fira Sans Light" w:hAnsi="Fira Sans Light" w:cstheme="majorHAnsi"/>
            <w:sz w:val="24"/>
            <w:szCs w:val="24"/>
          </w:rPr>
          <w:t>www.cas.edu</w:t>
        </w:r>
      </w:hyperlink>
      <w:r w:rsidRPr="00941484">
        <w:rPr>
          <w:rFonts w:ascii="Fira Sans Light" w:hAnsi="Fira Sans Light" w:cstheme="majorHAnsi"/>
          <w:sz w:val="24"/>
          <w:szCs w:val="24"/>
        </w:rPr>
        <w:t>.</w:t>
      </w:r>
    </w:p>
    <w:p w14:paraId="1C1C1538" w14:textId="77777777" w:rsidR="00941484" w:rsidRPr="00941484" w:rsidRDefault="00941484" w:rsidP="00941484">
      <w:pPr>
        <w:rPr>
          <w:rFonts w:ascii="Fira Sans Light" w:hAnsi="Fira Sans Light" w:cstheme="majorHAnsi"/>
          <w:sz w:val="24"/>
          <w:szCs w:val="24"/>
        </w:rPr>
      </w:pPr>
      <w:r w:rsidRPr="00AA6DE3">
        <w:rPr>
          <w:rStyle w:val="Heading1Char"/>
          <w:rFonts w:ascii="Fira Sans Light" w:hAnsi="Fira Sans Light"/>
          <w:b/>
          <w:bCs/>
          <w:sz w:val="24"/>
          <w:szCs w:val="24"/>
        </w:rPr>
        <w:t xml:space="preserve">Program Area Context: </w:t>
      </w:r>
      <w:r w:rsidRPr="00941484">
        <w:rPr>
          <w:rFonts w:ascii="Fira Sans Light" w:hAnsi="Fira Sans Light" w:cstheme="majorHAnsi"/>
          <w:sz w:val="24"/>
          <w:szCs w:val="24"/>
        </w:rPr>
        <w:t>See ‘Contextual Statement’ in the introductory section of the Self-Assessment Guide for a history and overview of the program area.</w:t>
      </w:r>
    </w:p>
    <w:p w14:paraId="507B9EEB" w14:textId="77777777" w:rsidR="00941484" w:rsidRPr="00941484" w:rsidRDefault="00941484" w:rsidP="00941484">
      <w:pPr>
        <w:rPr>
          <w:rFonts w:ascii="Fira Sans Light" w:hAnsi="Fira Sans Light" w:cstheme="majorHAnsi"/>
          <w:sz w:val="24"/>
          <w:szCs w:val="24"/>
        </w:rPr>
      </w:pPr>
      <w:r w:rsidRPr="00AA6DE3">
        <w:rPr>
          <w:rStyle w:val="Heading1Char"/>
          <w:rFonts w:ascii="Fira Sans Light" w:hAnsi="Fira Sans Light"/>
          <w:b/>
          <w:bCs/>
          <w:sz w:val="24"/>
          <w:szCs w:val="24"/>
        </w:rPr>
        <w:t xml:space="preserve">Process Overview: </w:t>
      </w:r>
      <w:r w:rsidRPr="00941484">
        <w:rPr>
          <w:rFonts w:ascii="Fira Sans Light" w:hAnsi="Fira Sans Light" w:cstheme="majorHAnsi"/>
          <w:i/>
          <w:iCs/>
          <w:sz w:val="24"/>
          <w:szCs w:val="24"/>
        </w:rPr>
        <w:t>The CAS self-assessment process follows the Self-Assessment Guide (SAG)</w:t>
      </w:r>
      <w:r w:rsidRPr="00941484">
        <w:rPr>
          <w:rFonts w:ascii="Fira Sans Light" w:hAnsi="Fira Sans Light" w:cstheme="majorHAnsi"/>
          <w:sz w:val="24"/>
          <w:szCs w:val="24"/>
        </w:rPr>
        <w:t>, which “translates functional area CAS standards and guidelines into tools for conducting self-study.” The Self-Assessment Team will conduct and interpret ratings using evaluative evidence. Ratings will be based on standards, which have been translated into criterion measures and grouped into subcategories for rating purposes. Following the ratings process, the Self-Assessment Team will formulate an action plan for the functional area.</w:t>
      </w:r>
    </w:p>
    <w:p w14:paraId="6F720AB1" w14:textId="3665320C" w:rsidR="00941484" w:rsidRPr="00941484" w:rsidRDefault="00941484" w:rsidP="00941484">
      <w:pPr>
        <w:rPr>
          <w:rFonts w:ascii="Fira Sans Light" w:hAnsi="Fira Sans Light" w:cstheme="majorBidi"/>
          <w:sz w:val="24"/>
          <w:szCs w:val="24"/>
        </w:rPr>
      </w:pPr>
      <w:r w:rsidRPr="00AA6DE3">
        <w:rPr>
          <w:rStyle w:val="Heading1Char"/>
          <w:rFonts w:ascii="Fira Sans Light" w:hAnsi="Fira Sans Light"/>
          <w:b/>
          <w:bCs/>
          <w:sz w:val="24"/>
          <w:szCs w:val="24"/>
        </w:rPr>
        <w:t xml:space="preserve">Self-Assessment Team: </w:t>
      </w:r>
      <w:r w:rsidRPr="00941484">
        <w:rPr>
          <w:rFonts w:ascii="Fira Sans Light" w:hAnsi="Fira Sans Light" w:cstheme="majorBidi"/>
          <w:i/>
          <w:iCs/>
          <w:sz w:val="24"/>
          <w:szCs w:val="24"/>
        </w:rPr>
        <w:t xml:space="preserve">The CAS Self-Assessment Team is recommended to consist of </w:t>
      </w:r>
      <w:r w:rsidR="008A7CA3">
        <w:rPr>
          <w:rFonts w:ascii="Fira Sans Light" w:hAnsi="Fira Sans Light" w:cstheme="majorBidi"/>
          <w:i/>
          <w:iCs/>
          <w:sz w:val="24"/>
          <w:szCs w:val="24"/>
        </w:rPr>
        <w:t>4</w:t>
      </w:r>
      <w:r w:rsidRPr="00941484">
        <w:rPr>
          <w:rFonts w:ascii="Fira Sans Light" w:hAnsi="Fira Sans Light" w:cstheme="majorBidi"/>
          <w:i/>
          <w:iCs/>
          <w:sz w:val="24"/>
          <w:szCs w:val="24"/>
        </w:rPr>
        <w:t>-</w:t>
      </w:r>
      <w:r w:rsidR="008A7CA3">
        <w:rPr>
          <w:rFonts w:ascii="Fira Sans Light" w:hAnsi="Fira Sans Light" w:cstheme="majorBidi"/>
          <w:i/>
          <w:iCs/>
          <w:sz w:val="24"/>
          <w:szCs w:val="24"/>
        </w:rPr>
        <w:t>6</w:t>
      </w:r>
      <w:r w:rsidRPr="00941484">
        <w:rPr>
          <w:rFonts w:ascii="Fira Sans Light" w:hAnsi="Fira Sans Light" w:cstheme="majorBidi"/>
          <w:i/>
          <w:iCs/>
          <w:sz w:val="24"/>
          <w:szCs w:val="24"/>
        </w:rPr>
        <w:t xml:space="preserve"> members</w:t>
      </w:r>
      <w:r w:rsidRPr="00941484">
        <w:rPr>
          <w:rFonts w:ascii="Fira Sans Light" w:hAnsi="Fira Sans Light" w:cstheme="majorBidi"/>
          <w:sz w:val="24"/>
          <w:szCs w:val="24"/>
        </w:rPr>
        <w:t xml:space="preserve">, and should include the functional area leader, other functional area staff as appropriate, and relevant stakeholders; including at least one student and one member from outside of the immediate functional area. 1-2 members should be designated to serve as facilitators for the self-assessment process. The </w:t>
      </w:r>
      <w:r w:rsidR="00AA6DE3">
        <w:rPr>
          <w:rFonts w:ascii="Fira Sans Light" w:hAnsi="Fira Sans Light" w:cstheme="majorBidi"/>
          <w:sz w:val="24"/>
          <w:szCs w:val="24"/>
        </w:rPr>
        <w:t xml:space="preserve">ESS Planning &amp; </w:t>
      </w:r>
      <w:r w:rsidRPr="00941484">
        <w:rPr>
          <w:rFonts w:ascii="Fira Sans Light" w:hAnsi="Fira Sans Light" w:cstheme="majorBidi"/>
          <w:sz w:val="24"/>
          <w:szCs w:val="24"/>
        </w:rPr>
        <w:t>Assessment Consultant is available to support coordination of the self-assessment process.</w:t>
      </w:r>
    </w:p>
    <w:p w14:paraId="11E5615C" w14:textId="3377EB98" w:rsidR="00941484" w:rsidRPr="00AA6DE3" w:rsidRDefault="00941484" w:rsidP="00AA6DE3">
      <w:pPr>
        <w:pStyle w:val="Heading1"/>
        <w:rPr>
          <w:rFonts w:ascii="Fira Sans Light" w:hAnsi="Fira Sans Light"/>
          <w:b/>
          <w:bCs/>
          <w:sz w:val="24"/>
          <w:szCs w:val="24"/>
        </w:rPr>
      </w:pPr>
      <w:r w:rsidRPr="00AA6DE3">
        <w:rPr>
          <w:rFonts w:ascii="Fira Sans Light" w:hAnsi="Fira Sans Light"/>
          <w:b/>
          <w:bCs/>
          <w:sz w:val="24"/>
          <w:szCs w:val="24"/>
        </w:rPr>
        <w:t xml:space="preserve">Process Outline: </w:t>
      </w:r>
    </w:p>
    <w:p w14:paraId="7E98167F" w14:textId="77777777" w:rsidR="00941484" w:rsidRPr="00941484" w:rsidRDefault="00941484" w:rsidP="00941484">
      <w:pPr>
        <w:pStyle w:val="ListParagraph"/>
        <w:numPr>
          <w:ilvl w:val="0"/>
          <w:numId w:val="1"/>
        </w:numPr>
        <w:ind w:left="720"/>
        <w:rPr>
          <w:rFonts w:ascii="Fira Sans Light" w:hAnsi="Fira Sans Light" w:cstheme="majorHAnsi"/>
          <w:sz w:val="24"/>
          <w:szCs w:val="24"/>
        </w:rPr>
      </w:pPr>
      <w:r w:rsidRPr="00941484">
        <w:rPr>
          <w:rFonts w:ascii="Fira Sans Light" w:hAnsi="Fira Sans Light" w:cstheme="majorHAnsi"/>
          <w:b/>
          <w:bCs/>
          <w:sz w:val="24"/>
          <w:szCs w:val="24"/>
        </w:rPr>
        <w:t>During week one</w:t>
      </w:r>
      <w:r w:rsidRPr="00941484">
        <w:rPr>
          <w:rFonts w:ascii="Fira Sans Light" w:hAnsi="Fira Sans Light" w:cstheme="majorHAnsi"/>
          <w:sz w:val="24"/>
          <w:szCs w:val="24"/>
        </w:rPr>
        <w:t xml:space="preserve">, team members will </w:t>
      </w:r>
      <w:r w:rsidRPr="00941484">
        <w:rPr>
          <w:rFonts w:ascii="Fira Sans Light" w:hAnsi="Fira Sans Light" w:cstheme="majorHAnsi"/>
          <w:i/>
          <w:iCs/>
          <w:sz w:val="24"/>
          <w:szCs w:val="24"/>
        </w:rPr>
        <w:t>meet for an initial overview with the Division Assessment Consultant</w:t>
      </w:r>
      <w:r w:rsidRPr="00941484">
        <w:rPr>
          <w:rFonts w:ascii="Fira Sans Light" w:hAnsi="Fira Sans Light" w:cstheme="majorHAnsi"/>
          <w:sz w:val="24"/>
          <w:szCs w:val="24"/>
        </w:rPr>
        <w:t>, to review the self-assessment process, the self-assessment guide, and the CAS Teams site, as well as to preview evidence for Standards 1 and 2 (to be reviewed during week two).</w:t>
      </w:r>
    </w:p>
    <w:p w14:paraId="2BA4109B" w14:textId="77777777" w:rsidR="00941484" w:rsidRPr="00941484" w:rsidRDefault="00941484" w:rsidP="00941484">
      <w:pPr>
        <w:pStyle w:val="ListParagraph"/>
        <w:rPr>
          <w:rFonts w:ascii="Fira Sans Light" w:hAnsi="Fira Sans Light" w:cstheme="majorHAnsi"/>
          <w:sz w:val="24"/>
          <w:szCs w:val="24"/>
        </w:rPr>
      </w:pPr>
    </w:p>
    <w:p w14:paraId="501DD78F" w14:textId="77777777" w:rsidR="00941484" w:rsidRPr="00941484" w:rsidRDefault="00941484" w:rsidP="00941484">
      <w:pPr>
        <w:pStyle w:val="ListParagraph"/>
        <w:numPr>
          <w:ilvl w:val="0"/>
          <w:numId w:val="1"/>
        </w:numPr>
        <w:ind w:left="720"/>
        <w:rPr>
          <w:rFonts w:ascii="Fira Sans Light" w:hAnsi="Fira Sans Light" w:cstheme="majorHAnsi"/>
          <w:sz w:val="24"/>
          <w:szCs w:val="24"/>
        </w:rPr>
      </w:pPr>
      <w:r w:rsidRPr="00941484">
        <w:rPr>
          <w:rFonts w:ascii="Fira Sans Light" w:hAnsi="Fira Sans Light" w:cstheme="majorHAnsi"/>
          <w:b/>
          <w:bCs/>
          <w:sz w:val="24"/>
          <w:szCs w:val="24"/>
        </w:rPr>
        <w:t>Before each meeting during weeks two through seven</w:t>
      </w:r>
      <w:r w:rsidRPr="00941484">
        <w:rPr>
          <w:rFonts w:ascii="Fira Sans Light" w:hAnsi="Fira Sans Light" w:cstheme="majorHAnsi"/>
          <w:sz w:val="24"/>
          <w:szCs w:val="24"/>
        </w:rPr>
        <w:t xml:space="preserve">, team members should </w:t>
      </w:r>
      <w:r w:rsidRPr="00941484">
        <w:rPr>
          <w:rFonts w:ascii="Fira Sans Light" w:hAnsi="Fira Sans Light" w:cstheme="majorHAnsi"/>
          <w:i/>
          <w:iCs/>
          <w:sz w:val="24"/>
          <w:szCs w:val="24"/>
        </w:rPr>
        <w:t>use the self-assessment guide to independently assign scores</w:t>
      </w:r>
      <w:r w:rsidRPr="00941484">
        <w:rPr>
          <w:rFonts w:ascii="Fira Sans Light" w:hAnsi="Fira Sans Light" w:cstheme="majorHAnsi"/>
          <w:sz w:val="24"/>
          <w:szCs w:val="24"/>
        </w:rPr>
        <w:t xml:space="preserve"> for each criterion measures for the standards assigned for each week, based on their understanding of the evidence provided. (Items for which no evidence has been provided may be noted and addressed in subsequent team discussions.)</w:t>
      </w:r>
    </w:p>
    <w:p w14:paraId="23E36D35" w14:textId="77777777" w:rsidR="00941484" w:rsidRPr="00941484" w:rsidRDefault="00941484" w:rsidP="00941484">
      <w:pPr>
        <w:pStyle w:val="ListParagraph"/>
        <w:numPr>
          <w:ilvl w:val="1"/>
          <w:numId w:val="1"/>
        </w:numPr>
        <w:ind w:left="1440"/>
        <w:rPr>
          <w:rFonts w:ascii="Fira Sans Light" w:hAnsi="Fira Sans Light" w:cstheme="majorHAnsi"/>
          <w:sz w:val="24"/>
          <w:szCs w:val="24"/>
        </w:rPr>
      </w:pPr>
      <w:r w:rsidRPr="00941484">
        <w:rPr>
          <w:rFonts w:ascii="Fira Sans Light" w:hAnsi="Fira Sans Light" w:cstheme="majorHAnsi"/>
          <w:sz w:val="24"/>
          <w:szCs w:val="24"/>
        </w:rPr>
        <w:t>Open SAG document from Teams (easiest to open in desktop app)</w:t>
      </w:r>
    </w:p>
    <w:p w14:paraId="66E13F14" w14:textId="77777777" w:rsidR="00941484" w:rsidRPr="00941484" w:rsidRDefault="00941484" w:rsidP="00941484">
      <w:pPr>
        <w:pStyle w:val="ListParagraph"/>
        <w:numPr>
          <w:ilvl w:val="1"/>
          <w:numId w:val="1"/>
        </w:numPr>
        <w:ind w:left="1440"/>
        <w:rPr>
          <w:rFonts w:ascii="Fira Sans Light" w:hAnsi="Fira Sans Light" w:cstheme="majorHAnsi"/>
          <w:sz w:val="24"/>
          <w:szCs w:val="24"/>
        </w:rPr>
      </w:pPr>
      <w:r w:rsidRPr="00941484">
        <w:rPr>
          <w:rFonts w:ascii="Fira Sans Light" w:hAnsi="Fira Sans Light" w:cstheme="majorHAnsi"/>
          <w:sz w:val="24"/>
          <w:szCs w:val="24"/>
        </w:rPr>
        <w:t>Open evidence folder in Teams for standard under review (refer to Evidence Tracking Spreadsheet to confirm evidence for each standard)</w:t>
      </w:r>
    </w:p>
    <w:p w14:paraId="1DFCC42A" w14:textId="77777777" w:rsidR="008200B7" w:rsidRDefault="00941484" w:rsidP="008200B7">
      <w:pPr>
        <w:pStyle w:val="ListParagraph"/>
        <w:numPr>
          <w:ilvl w:val="1"/>
          <w:numId w:val="1"/>
        </w:numPr>
        <w:ind w:left="1440"/>
        <w:rPr>
          <w:rFonts w:ascii="Fira Sans Light" w:hAnsi="Fira Sans Light" w:cstheme="majorHAnsi"/>
          <w:sz w:val="24"/>
          <w:szCs w:val="24"/>
        </w:rPr>
      </w:pPr>
      <w:r w:rsidRPr="00941484">
        <w:rPr>
          <w:rFonts w:ascii="Fira Sans Light" w:hAnsi="Fira Sans Light" w:cstheme="majorHAnsi"/>
          <w:sz w:val="24"/>
          <w:szCs w:val="24"/>
        </w:rPr>
        <w:t>Open Score Tracking spreadsheet (easiest to open in desktop app)</w:t>
      </w:r>
    </w:p>
    <w:p w14:paraId="5D757861" w14:textId="36C42644" w:rsidR="00941484" w:rsidRDefault="00941484" w:rsidP="008200B7">
      <w:pPr>
        <w:pStyle w:val="ListParagraph"/>
        <w:numPr>
          <w:ilvl w:val="1"/>
          <w:numId w:val="1"/>
        </w:numPr>
        <w:ind w:left="1440"/>
        <w:rPr>
          <w:rFonts w:ascii="Fira Sans Light" w:hAnsi="Fira Sans Light" w:cstheme="majorHAnsi"/>
          <w:sz w:val="24"/>
          <w:szCs w:val="24"/>
        </w:rPr>
      </w:pPr>
      <w:r w:rsidRPr="008200B7">
        <w:rPr>
          <w:rFonts w:ascii="Fira Sans Light" w:hAnsi="Fira Sans Light" w:cstheme="majorHAnsi"/>
          <w:sz w:val="24"/>
          <w:szCs w:val="24"/>
        </w:rPr>
        <w:t>While reviewing the SAG criteria for the standard under review, as well as the relevant evidence for the standard, enter scores for each criterion into the Scoring Tracking spreadsheet (be sure to save before closing the file)</w:t>
      </w:r>
    </w:p>
    <w:p w14:paraId="02F690AC" w14:textId="77777777" w:rsidR="00AE0977" w:rsidRDefault="00AE0977" w:rsidP="00AE0977">
      <w:pPr>
        <w:pStyle w:val="ListParagraph"/>
        <w:ind w:left="1440"/>
        <w:rPr>
          <w:rFonts w:ascii="Fira Sans Light" w:hAnsi="Fira Sans Light" w:cstheme="majorHAnsi"/>
          <w:sz w:val="24"/>
          <w:szCs w:val="24"/>
        </w:rPr>
      </w:pPr>
    </w:p>
    <w:p w14:paraId="799E58D3" w14:textId="1748773D" w:rsidR="00AE0977" w:rsidRPr="007467C1" w:rsidRDefault="00AE0977" w:rsidP="00AE0977">
      <w:pPr>
        <w:pStyle w:val="ListParagraph"/>
        <w:ind w:left="1440"/>
        <w:rPr>
          <w:rFonts w:ascii="Fira Sans Light" w:hAnsi="Fira Sans Light" w:cstheme="majorHAnsi"/>
          <w:color w:val="000000" w:themeColor="text1"/>
          <w:sz w:val="24"/>
          <w:szCs w:val="24"/>
        </w:rPr>
      </w:pPr>
      <w:r w:rsidRPr="007467C1">
        <w:rPr>
          <w:rStyle w:val="Heading2Char"/>
          <w:rFonts w:ascii="Fira Sans Light" w:hAnsi="Fira Sans Light"/>
          <w:b/>
          <w:bCs/>
          <w:color w:val="000000" w:themeColor="text1"/>
        </w:rPr>
        <w:t>Rating Scale</w:t>
      </w:r>
      <w:r w:rsidRPr="007467C1">
        <w:rPr>
          <w:rFonts w:ascii="Fira Sans Light" w:hAnsi="Fira Sans Light" w:cstheme="majorHAnsi"/>
          <w:color w:val="000000" w:themeColor="text1"/>
          <w:sz w:val="24"/>
          <w:szCs w:val="24"/>
        </w:rPr>
        <w:t>:</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1403"/>
        <w:gridCol w:w="1403"/>
        <w:gridCol w:w="1403"/>
        <w:gridCol w:w="1403"/>
      </w:tblGrid>
      <w:tr w:rsidR="00AE0977" w:rsidRPr="00941484" w14:paraId="479FC9BE" w14:textId="77777777" w:rsidTr="00AE0977">
        <w:trPr>
          <w:trHeight w:val="110"/>
        </w:trPr>
        <w:tc>
          <w:tcPr>
            <w:tcW w:w="1403" w:type="dxa"/>
          </w:tcPr>
          <w:p w14:paraId="4A6B0FC3" w14:textId="77777777" w:rsidR="00AE0977" w:rsidRPr="00941484" w:rsidRDefault="00AE0977" w:rsidP="00E47E0E">
            <w:pPr>
              <w:pStyle w:val="Default"/>
              <w:rPr>
                <w:rFonts w:ascii="Fira Sans Light" w:hAnsi="Fira Sans Light" w:cs="Calibri Light"/>
                <w:sz w:val="22"/>
                <w:szCs w:val="22"/>
              </w:rPr>
            </w:pPr>
            <w:r w:rsidRPr="00941484">
              <w:rPr>
                <w:rFonts w:ascii="Fira Sans Light" w:hAnsi="Fira Sans Light" w:cs="Calibri Light"/>
                <w:sz w:val="22"/>
                <w:szCs w:val="22"/>
              </w:rPr>
              <w:t xml:space="preserve">DNA </w:t>
            </w:r>
          </w:p>
        </w:tc>
        <w:tc>
          <w:tcPr>
            <w:tcW w:w="1403" w:type="dxa"/>
          </w:tcPr>
          <w:p w14:paraId="08489245" w14:textId="77777777" w:rsidR="00AE0977" w:rsidRPr="00941484" w:rsidRDefault="00AE0977" w:rsidP="00E47E0E">
            <w:pPr>
              <w:pStyle w:val="Default"/>
              <w:rPr>
                <w:rFonts w:ascii="Fira Sans Light" w:hAnsi="Fira Sans Light" w:cs="Calibri Light"/>
                <w:sz w:val="22"/>
                <w:szCs w:val="22"/>
              </w:rPr>
            </w:pPr>
            <w:r w:rsidRPr="00941484">
              <w:rPr>
                <w:rFonts w:ascii="Fira Sans Light" w:hAnsi="Fira Sans Light" w:cs="Calibri Light"/>
                <w:sz w:val="22"/>
                <w:szCs w:val="22"/>
              </w:rPr>
              <w:t xml:space="preserve">IE </w:t>
            </w:r>
          </w:p>
        </w:tc>
        <w:tc>
          <w:tcPr>
            <w:tcW w:w="1403" w:type="dxa"/>
          </w:tcPr>
          <w:p w14:paraId="63202027" w14:textId="77777777" w:rsidR="00AE0977" w:rsidRPr="00941484" w:rsidRDefault="00AE0977" w:rsidP="00E47E0E">
            <w:pPr>
              <w:pStyle w:val="Default"/>
              <w:rPr>
                <w:rFonts w:ascii="Fira Sans Light" w:hAnsi="Fira Sans Light" w:cs="Calibri Light"/>
                <w:sz w:val="22"/>
                <w:szCs w:val="22"/>
              </w:rPr>
            </w:pPr>
            <w:r w:rsidRPr="00941484">
              <w:rPr>
                <w:rFonts w:ascii="Fira Sans Light" w:hAnsi="Fira Sans Light" w:cs="Calibri Light"/>
                <w:sz w:val="22"/>
                <w:szCs w:val="22"/>
              </w:rPr>
              <w:t xml:space="preserve">0 </w:t>
            </w:r>
          </w:p>
        </w:tc>
        <w:tc>
          <w:tcPr>
            <w:tcW w:w="1403" w:type="dxa"/>
          </w:tcPr>
          <w:p w14:paraId="627E761F" w14:textId="77777777" w:rsidR="00AE0977" w:rsidRPr="00941484" w:rsidRDefault="00AE0977" w:rsidP="00E47E0E">
            <w:pPr>
              <w:pStyle w:val="Default"/>
              <w:rPr>
                <w:rFonts w:ascii="Fira Sans Light" w:hAnsi="Fira Sans Light" w:cs="Calibri Light"/>
                <w:sz w:val="22"/>
                <w:szCs w:val="22"/>
              </w:rPr>
            </w:pPr>
            <w:r w:rsidRPr="00941484">
              <w:rPr>
                <w:rFonts w:ascii="Fira Sans Light" w:hAnsi="Fira Sans Light" w:cs="Calibri Light"/>
                <w:sz w:val="22"/>
                <w:szCs w:val="22"/>
              </w:rPr>
              <w:t xml:space="preserve">1 </w:t>
            </w:r>
          </w:p>
        </w:tc>
        <w:tc>
          <w:tcPr>
            <w:tcW w:w="1403" w:type="dxa"/>
          </w:tcPr>
          <w:p w14:paraId="28866A11" w14:textId="77777777" w:rsidR="00AE0977" w:rsidRPr="00941484" w:rsidRDefault="00AE0977" w:rsidP="00E47E0E">
            <w:pPr>
              <w:pStyle w:val="Default"/>
              <w:rPr>
                <w:rFonts w:ascii="Fira Sans Light" w:hAnsi="Fira Sans Light" w:cs="Calibri Light"/>
                <w:sz w:val="22"/>
                <w:szCs w:val="22"/>
              </w:rPr>
            </w:pPr>
            <w:r w:rsidRPr="00941484">
              <w:rPr>
                <w:rFonts w:ascii="Fira Sans Light" w:hAnsi="Fira Sans Light" w:cs="Calibri Light"/>
                <w:sz w:val="22"/>
                <w:szCs w:val="22"/>
              </w:rPr>
              <w:t xml:space="preserve">2 </w:t>
            </w:r>
          </w:p>
        </w:tc>
      </w:tr>
      <w:tr w:rsidR="00AE0977" w:rsidRPr="00941484" w14:paraId="1448B23D" w14:textId="77777777" w:rsidTr="00AE0977">
        <w:trPr>
          <w:trHeight w:val="110"/>
        </w:trPr>
        <w:tc>
          <w:tcPr>
            <w:tcW w:w="1403" w:type="dxa"/>
          </w:tcPr>
          <w:p w14:paraId="580B675F" w14:textId="77777777" w:rsidR="00AE0977" w:rsidRPr="00941484" w:rsidRDefault="00AE0977" w:rsidP="00E47E0E">
            <w:pPr>
              <w:pStyle w:val="Default"/>
              <w:rPr>
                <w:rFonts w:ascii="Fira Sans Light" w:hAnsi="Fira Sans Light" w:cs="Calibri Light"/>
                <w:sz w:val="22"/>
                <w:szCs w:val="22"/>
              </w:rPr>
            </w:pPr>
            <w:r w:rsidRPr="00941484">
              <w:rPr>
                <w:rFonts w:ascii="Fira Sans Light" w:hAnsi="Fira Sans Light" w:cs="Calibri Light"/>
                <w:sz w:val="22"/>
                <w:szCs w:val="22"/>
              </w:rPr>
              <w:t xml:space="preserve">Does Not Apply </w:t>
            </w:r>
          </w:p>
        </w:tc>
        <w:tc>
          <w:tcPr>
            <w:tcW w:w="1403" w:type="dxa"/>
          </w:tcPr>
          <w:p w14:paraId="48899030" w14:textId="77777777" w:rsidR="00AE0977" w:rsidRPr="00941484" w:rsidRDefault="00AE0977" w:rsidP="00E47E0E">
            <w:pPr>
              <w:pStyle w:val="Default"/>
              <w:rPr>
                <w:rFonts w:ascii="Fira Sans Light" w:hAnsi="Fira Sans Light" w:cs="Calibri Light"/>
                <w:sz w:val="22"/>
                <w:szCs w:val="22"/>
              </w:rPr>
            </w:pPr>
            <w:r w:rsidRPr="00941484">
              <w:rPr>
                <w:rFonts w:ascii="Fira Sans Light" w:hAnsi="Fira Sans Light" w:cs="Calibri Light"/>
                <w:sz w:val="22"/>
                <w:szCs w:val="22"/>
              </w:rPr>
              <w:t xml:space="preserve">Insufficient Evidence </w:t>
            </w:r>
          </w:p>
        </w:tc>
        <w:tc>
          <w:tcPr>
            <w:tcW w:w="1403" w:type="dxa"/>
          </w:tcPr>
          <w:p w14:paraId="606D51C2" w14:textId="77777777" w:rsidR="00AE0977" w:rsidRPr="00941484" w:rsidRDefault="00AE0977" w:rsidP="00E47E0E">
            <w:pPr>
              <w:pStyle w:val="Default"/>
              <w:rPr>
                <w:rFonts w:ascii="Fira Sans Light" w:hAnsi="Fira Sans Light" w:cs="Calibri Light"/>
                <w:sz w:val="22"/>
                <w:szCs w:val="22"/>
              </w:rPr>
            </w:pPr>
            <w:r w:rsidRPr="00941484">
              <w:rPr>
                <w:rFonts w:ascii="Fira Sans Light" w:hAnsi="Fira Sans Light" w:cs="Calibri Light"/>
                <w:sz w:val="22"/>
                <w:szCs w:val="22"/>
              </w:rPr>
              <w:t xml:space="preserve">Does Not Meet </w:t>
            </w:r>
          </w:p>
        </w:tc>
        <w:tc>
          <w:tcPr>
            <w:tcW w:w="1403" w:type="dxa"/>
          </w:tcPr>
          <w:p w14:paraId="5CE674E3" w14:textId="77777777" w:rsidR="00AE0977" w:rsidRPr="00941484" w:rsidRDefault="00AE0977" w:rsidP="00E47E0E">
            <w:pPr>
              <w:pStyle w:val="Default"/>
              <w:rPr>
                <w:rFonts w:ascii="Fira Sans Light" w:hAnsi="Fira Sans Light" w:cs="Calibri Light"/>
                <w:sz w:val="22"/>
                <w:szCs w:val="22"/>
              </w:rPr>
            </w:pPr>
            <w:r w:rsidRPr="00941484">
              <w:rPr>
                <w:rFonts w:ascii="Fira Sans Light" w:hAnsi="Fira Sans Light" w:cs="Calibri Light"/>
                <w:sz w:val="22"/>
                <w:szCs w:val="22"/>
              </w:rPr>
              <w:t xml:space="preserve">Partly Meets </w:t>
            </w:r>
          </w:p>
        </w:tc>
        <w:tc>
          <w:tcPr>
            <w:tcW w:w="1403" w:type="dxa"/>
          </w:tcPr>
          <w:p w14:paraId="101F1A82" w14:textId="77777777" w:rsidR="00AE0977" w:rsidRPr="00941484" w:rsidRDefault="00AE0977" w:rsidP="00E47E0E">
            <w:pPr>
              <w:pStyle w:val="Default"/>
              <w:rPr>
                <w:rFonts w:ascii="Fira Sans Light" w:hAnsi="Fira Sans Light" w:cs="Calibri Light"/>
                <w:sz w:val="22"/>
                <w:szCs w:val="22"/>
              </w:rPr>
            </w:pPr>
            <w:r w:rsidRPr="00941484">
              <w:rPr>
                <w:rFonts w:ascii="Fira Sans Light" w:hAnsi="Fira Sans Light" w:cs="Calibri Light"/>
                <w:sz w:val="22"/>
                <w:szCs w:val="22"/>
              </w:rPr>
              <w:t xml:space="preserve">Meets </w:t>
            </w:r>
          </w:p>
        </w:tc>
      </w:tr>
    </w:tbl>
    <w:p w14:paraId="4E255DF9" w14:textId="2F4322D6" w:rsidR="00941484" w:rsidRDefault="00941484" w:rsidP="00941484">
      <w:pPr>
        <w:spacing w:after="0"/>
        <w:rPr>
          <w:rFonts w:ascii="Fira Sans Light" w:hAnsi="Fira Sans Light" w:cstheme="majorHAnsi"/>
          <w:sz w:val="24"/>
          <w:szCs w:val="24"/>
        </w:rPr>
      </w:pPr>
    </w:p>
    <w:p w14:paraId="4C983C75" w14:textId="77777777" w:rsidR="00AE0977" w:rsidRPr="00941484" w:rsidRDefault="00AE0977" w:rsidP="00AE0977">
      <w:pPr>
        <w:pStyle w:val="ListParagraph"/>
        <w:numPr>
          <w:ilvl w:val="0"/>
          <w:numId w:val="1"/>
        </w:numPr>
        <w:rPr>
          <w:rFonts w:ascii="Fira Sans Light" w:hAnsi="Fira Sans Light" w:cstheme="majorHAnsi"/>
          <w:sz w:val="24"/>
          <w:szCs w:val="24"/>
        </w:rPr>
      </w:pPr>
      <w:r w:rsidRPr="00941484">
        <w:rPr>
          <w:rFonts w:ascii="Fira Sans Light" w:hAnsi="Fira Sans Light" w:cstheme="majorHAnsi"/>
          <w:b/>
          <w:bCs/>
          <w:sz w:val="24"/>
          <w:szCs w:val="24"/>
        </w:rPr>
        <w:t>Team members</w:t>
      </w:r>
      <w:r w:rsidRPr="00941484">
        <w:rPr>
          <w:rFonts w:ascii="Fira Sans Light" w:hAnsi="Fira Sans Light" w:cstheme="majorHAnsi"/>
          <w:sz w:val="24"/>
          <w:szCs w:val="24"/>
        </w:rPr>
        <w:t xml:space="preserve"> </w:t>
      </w:r>
      <w:r w:rsidRPr="00941484">
        <w:rPr>
          <w:rFonts w:ascii="Fira Sans Light" w:hAnsi="Fira Sans Light" w:cstheme="majorHAnsi"/>
          <w:b/>
          <w:bCs/>
          <w:sz w:val="24"/>
          <w:szCs w:val="24"/>
        </w:rPr>
        <w:t>meet during weeks two through seven</w:t>
      </w:r>
      <w:r w:rsidRPr="00941484">
        <w:rPr>
          <w:rFonts w:ascii="Fira Sans Light" w:hAnsi="Fira Sans Light" w:cstheme="majorHAnsi"/>
          <w:sz w:val="24"/>
          <w:szCs w:val="24"/>
        </w:rPr>
        <w:t xml:space="preserve"> to </w:t>
      </w:r>
      <w:r w:rsidRPr="00941484">
        <w:rPr>
          <w:rFonts w:ascii="Fira Sans Light" w:hAnsi="Fira Sans Light" w:cstheme="majorHAnsi"/>
          <w:i/>
          <w:iCs/>
          <w:sz w:val="24"/>
          <w:szCs w:val="24"/>
        </w:rPr>
        <w:t>discuss and assign consensus scores for criterion measures</w:t>
      </w:r>
      <w:r w:rsidRPr="00941484">
        <w:rPr>
          <w:rFonts w:ascii="Fira Sans Light" w:hAnsi="Fira Sans Light" w:cstheme="majorHAnsi"/>
          <w:sz w:val="24"/>
          <w:szCs w:val="24"/>
        </w:rPr>
        <w:t xml:space="preserve">, as well as to note recognitions and recommendations, relative to standards, evidence provided, and any additional information presented in discussions. (It may be useful to refer to the guidelines and overview questions for each standard in discussing and assigning ratings.) </w:t>
      </w:r>
    </w:p>
    <w:p w14:paraId="42E77EA0" w14:textId="77777777" w:rsidR="00AE0977" w:rsidRPr="00941484" w:rsidRDefault="00AE0977" w:rsidP="00AE0977">
      <w:pPr>
        <w:rPr>
          <w:rFonts w:ascii="Fira Sans Light" w:hAnsi="Fira Sans Light" w:cstheme="majorHAnsi"/>
          <w:sz w:val="24"/>
          <w:szCs w:val="24"/>
        </w:rPr>
      </w:pPr>
      <w:r w:rsidRPr="00941484">
        <w:rPr>
          <w:rFonts w:ascii="Fira Sans Light" w:hAnsi="Fira Sans Light" w:cstheme="majorHAnsi"/>
          <w:sz w:val="24"/>
          <w:szCs w:val="24"/>
        </w:rPr>
        <w:tab/>
      </w:r>
      <w:r w:rsidRPr="00941484">
        <w:rPr>
          <w:rFonts w:ascii="Fira Sans Light" w:hAnsi="Fira Sans Light" w:cstheme="majorHAnsi"/>
          <w:sz w:val="24"/>
          <w:szCs w:val="24"/>
          <w:u w:val="single"/>
        </w:rPr>
        <w:t>For each standard, in the Score Tracking spreadsheet</w:t>
      </w:r>
      <w:r w:rsidRPr="00941484">
        <w:rPr>
          <w:rFonts w:ascii="Fira Sans Light" w:hAnsi="Fira Sans Light" w:cstheme="majorHAnsi"/>
          <w:sz w:val="24"/>
          <w:szCs w:val="24"/>
        </w:rPr>
        <w:t>:</w:t>
      </w:r>
    </w:p>
    <w:p w14:paraId="45F191DF" w14:textId="77777777" w:rsidR="00AE0977" w:rsidRPr="00941484" w:rsidRDefault="00AE0977" w:rsidP="00AE0977">
      <w:pPr>
        <w:pStyle w:val="ListParagraph"/>
        <w:numPr>
          <w:ilvl w:val="1"/>
          <w:numId w:val="1"/>
        </w:numPr>
        <w:rPr>
          <w:rFonts w:ascii="Fira Sans Light" w:hAnsi="Fira Sans Light" w:cstheme="majorHAnsi"/>
          <w:sz w:val="24"/>
          <w:szCs w:val="24"/>
        </w:rPr>
      </w:pPr>
      <w:r w:rsidRPr="00941484">
        <w:rPr>
          <w:rFonts w:ascii="Fira Sans Light" w:hAnsi="Fira Sans Light" w:cstheme="majorHAnsi"/>
          <w:sz w:val="24"/>
          <w:szCs w:val="24"/>
        </w:rPr>
        <w:t>Assign consensus scores for each criterion measure, based on individual scores</w:t>
      </w:r>
    </w:p>
    <w:p w14:paraId="5F75F85E" w14:textId="77777777" w:rsidR="00AE0977" w:rsidRPr="00941484" w:rsidRDefault="00AE0977" w:rsidP="00AE0977">
      <w:pPr>
        <w:pStyle w:val="ListParagraph"/>
        <w:numPr>
          <w:ilvl w:val="1"/>
          <w:numId w:val="1"/>
        </w:numPr>
        <w:rPr>
          <w:rFonts w:ascii="Fira Sans Light" w:hAnsi="Fira Sans Light" w:cstheme="majorHAnsi"/>
          <w:sz w:val="24"/>
          <w:szCs w:val="24"/>
        </w:rPr>
      </w:pPr>
      <w:r w:rsidRPr="00941484">
        <w:rPr>
          <w:rFonts w:ascii="Fira Sans Light" w:hAnsi="Fira Sans Light" w:cstheme="majorHAnsi"/>
          <w:sz w:val="24"/>
          <w:szCs w:val="24"/>
        </w:rPr>
        <w:t>Document any notable areas of good practice for each criterion measure (‘Recognitions’)</w:t>
      </w:r>
    </w:p>
    <w:p w14:paraId="4BC61E9E" w14:textId="77777777" w:rsidR="00AE0977" w:rsidRPr="00941484" w:rsidRDefault="00AE0977" w:rsidP="00AE0977">
      <w:pPr>
        <w:pStyle w:val="ListParagraph"/>
        <w:numPr>
          <w:ilvl w:val="1"/>
          <w:numId w:val="1"/>
        </w:numPr>
        <w:rPr>
          <w:rFonts w:ascii="Fira Sans Light" w:hAnsi="Fira Sans Light" w:cstheme="majorHAnsi"/>
          <w:sz w:val="24"/>
          <w:szCs w:val="24"/>
        </w:rPr>
      </w:pPr>
      <w:r w:rsidRPr="00941484">
        <w:rPr>
          <w:rFonts w:ascii="Fira Sans Light" w:hAnsi="Fira Sans Light" w:cstheme="majorHAnsi"/>
          <w:sz w:val="24"/>
          <w:szCs w:val="24"/>
        </w:rPr>
        <w:t>Document any notable areas for improvement for each criterion measure (‘Recommendations’)</w:t>
      </w:r>
    </w:p>
    <w:p w14:paraId="0A915F87" w14:textId="77777777" w:rsidR="00AE0977" w:rsidRPr="00941484" w:rsidRDefault="00AE0977" w:rsidP="00AE0977">
      <w:pPr>
        <w:pStyle w:val="ListParagraph"/>
        <w:numPr>
          <w:ilvl w:val="1"/>
          <w:numId w:val="1"/>
        </w:numPr>
        <w:rPr>
          <w:rFonts w:ascii="Fira Sans Light" w:hAnsi="Fira Sans Light" w:cstheme="majorHAnsi"/>
          <w:sz w:val="24"/>
          <w:szCs w:val="24"/>
        </w:rPr>
      </w:pPr>
      <w:r w:rsidRPr="00941484">
        <w:rPr>
          <w:rFonts w:ascii="Fira Sans Light" w:hAnsi="Fira Sans Light" w:cstheme="majorHAnsi"/>
          <w:sz w:val="24"/>
          <w:szCs w:val="24"/>
        </w:rPr>
        <w:t>Include any additional relevant information</w:t>
      </w:r>
    </w:p>
    <w:p w14:paraId="060A8681" w14:textId="77777777" w:rsidR="00AE0977" w:rsidRPr="00941484" w:rsidRDefault="00AE0977" w:rsidP="00AE0977">
      <w:pPr>
        <w:pStyle w:val="ListParagraph"/>
        <w:ind w:left="1080"/>
        <w:rPr>
          <w:rFonts w:ascii="Fira Sans Light" w:hAnsi="Fira Sans Light" w:cstheme="majorHAnsi"/>
          <w:sz w:val="24"/>
          <w:szCs w:val="24"/>
        </w:rPr>
      </w:pPr>
    </w:p>
    <w:p w14:paraId="5CD6A8C7" w14:textId="77777777" w:rsidR="00AE0977" w:rsidRPr="00941484" w:rsidRDefault="00AE0977" w:rsidP="00AE0977">
      <w:pPr>
        <w:pStyle w:val="ListParagraph"/>
        <w:numPr>
          <w:ilvl w:val="0"/>
          <w:numId w:val="1"/>
        </w:numPr>
        <w:rPr>
          <w:rFonts w:ascii="Fira Sans Light" w:hAnsi="Fira Sans Light" w:cstheme="majorHAnsi"/>
          <w:sz w:val="24"/>
          <w:szCs w:val="24"/>
        </w:rPr>
      </w:pPr>
      <w:r w:rsidRPr="00941484">
        <w:rPr>
          <w:rFonts w:ascii="Fira Sans Light" w:hAnsi="Fira Sans Light" w:cstheme="majorHAnsi"/>
          <w:sz w:val="24"/>
          <w:szCs w:val="24"/>
        </w:rPr>
        <w:t>After meeting during week seven, all scores and notes (recognitions, recommendations, etc.) from the Score Tracking spreadsheet should be compiled into the Self-Assessment Report Template for team members to review during week eight.</w:t>
      </w:r>
    </w:p>
    <w:p w14:paraId="3215B0B0" w14:textId="77777777" w:rsidR="00AE0977" w:rsidRPr="00941484" w:rsidRDefault="00AE0977" w:rsidP="00AE0977">
      <w:pPr>
        <w:pStyle w:val="ListParagraph"/>
        <w:ind w:left="360"/>
        <w:rPr>
          <w:rFonts w:ascii="Fira Sans Light" w:hAnsi="Fira Sans Light" w:cstheme="majorHAnsi"/>
          <w:sz w:val="24"/>
          <w:szCs w:val="24"/>
        </w:rPr>
      </w:pPr>
    </w:p>
    <w:p w14:paraId="052813FA" w14:textId="77777777" w:rsidR="00AE0977" w:rsidRPr="00941484" w:rsidRDefault="00AE0977" w:rsidP="00AE0977">
      <w:pPr>
        <w:pStyle w:val="ListParagraph"/>
        <w:numPr>
          <w:ilvl w:val="0"/>
          <w:numId w:val="1"/>
        </w:numPr>
        <w:rPr>
          <w:rFonts w:ascii="Fira Sans Light" w:hAnsi="Fira Sans Light" w:cstheme="majorHAnsi"/>
          <w:sz w:val="24"/>
          <w:szCs w:val="24"/>
        </w:rPr>
      </w:pPr>
      <w:r w:rsidRPr="00941484">
        <w:rPr>
          <w:rFonts w:ascii="Fira Sans Light" w:hAnsi="Fira Sans Light" w:cstheme="majorHAnsi"/>
          <w:b/>
          <w:bCs/>
          <w:sz w:val="24"/>
          <w:szCs w:val="24"/>
        </w:rPr>
        <w:t>During week eight</w:t>
      </w:r>
      <w:r w:rsidRPr="00941484">
        <w:rPr>
          <w:rFonts w:ascii="Fira Sans Light" w:hAnsi="Fira Sans Light" w:cstheme="majorHAnsi"/>
          <w:sz w:val="24"/>
          <w:szCs w:val="24"/>
        </w:rPr>
        <w:t xml:space="preserve">, team members will </w:t>
      </w:r>
      <w:r w:rsidRPr="00941484">
        <w:rPr>
          <w:rFonts w:ascii="Fira Sans Light" w:hAnsi="Fira Sans Light" w:cstheme="majorHAnsi"/>
          <w:i/>
          <w:iCs/>
          <w:sz w:val="24"/>
          <w:szCs w:val="24"/>
        </w:rPr>
        <w:t>meet to formulate an action plan</w:t>
      </w:r>
      <w:r w:rsidRPr="00941484">
        <w:rPr>
          <w:rFonts w:ascii="Fira Sans Light" w:hAnsi="Fira Sans Light" w:cstheme="majorHAnsi"/>
          <w:sz w:val="24"/>
          <w:szCs w:val="24"/>
        </w:rPr>
        <w:t xml:space="preserve"> by identifying areas for improvement and corresponding recommendations. While reviewing the Self-Assessment Report Draft:</w:t>
      </w:r>
    </w:p>
    <w:p w14:paraId="6D930E99" w14:textId="63AB50C2" w:rsidR="00AE0977" w:rsidRPr="00941484" w:rsidRDefault="00AE0977" w:rsidP="00AE0977">
      <w:pPr>
        <w:pStyle w:val="ListParagraph"/>
        <w:numPr>
          <w:ilvl w:val="1"/>
          <w:numId w:val="1"/>
        </w:numPr>
        <w:rPr>
          <w:rFonts w:ascii="Fira Sans Light" w:hAnsi="Fira Sans Light" w:cstheme="majorHAnsi"/>
          <w:sz w:val="24"/>
          <w:szCs w:val="24"/>
        </w:rPr>
      </w:pPr>
      <w:r w:rsidRPr="00941484">
        <w:rPr>
          <w:rFonts w:ascii="Fira Sans Light" w:hAnsi="Fira Sans Light" w:cstheme="majorHAnsi"/>
          <w:sz w:val="24"/>
          <w:szCs w:val="24"/>
        </w:rPr>
        <w:t>For each recommendation, list specific action items to enhance and strengthen services</w:t>
      </w:r>
    </w:p>
    <w:p w14:paraId="3DA3E6F0" w14:textId="77777777" w:rsidR="00AE0977" w:rsidRPr="00941484" w:rsidRDefault="00AE0977" w:rsidP="00AE0977">
      <w:pPr>
        <w:pStyle w:val="ListParagraph"/>
        <w:numPr>
          <w:ilvl w:val="1"/>
          <w:numId w:val="1"/>
        </w:numPr>
        <w:rPr>
          <w:rFonts w:ascii="Fira Sans Light" w:hAnsi="Fira Sans Light" w:cstheme="majorHAnsi"/>
          <w:sz w:val="24"/>
          <w:szCs w:val="24"/>
        </w:rPr>
      </w:pPr>
      <w:r w:rsidRPr="00941484">
        <w:rPr>
          <w:rFonts w:ascii="Fira Sans Light" w:hAnsi="Fira Sans Light" w:cstheme="majorHAnsi"/>
          <w:sz w:val="24"/>
          <w:szCs w:val="24"/>
        </w:rPr>
        <w:t>Assign priority levels/timeframes for each action item to be completed</w:t>
      </w:r>
    </w:p>
    <w:p w14:paraId="53DF59A1" w14:textId="77777777" w:rsidR="00AE0977" w:rsidRPr="00941484" w:rsidRDefault="00AE0977" w:rsidP="00AE0977">
      <w:pPr>
        <w:pStyle w:val="ListParagraph"/>
        <w:numPr>
          <w:ilvl w:val="1"/>
          <w:numId w:val="1"/>
        </w:numPr>
        <w:rPr>
          <w:rFonts w:ascii="Fira Sans Light" w:hAnsi="Fira Sans Light" w:cstheme="majorHAnsi"/>
          <w:sz w:val="24"/>
          <w:szCs w:val="24"/>
        </w:rPr>
      </w:pPr>
      <w:r w:rsidRPr="00941484">
        <w:rPr>
          <w:rFonts w:ascii="Fira Sans Light" w:hAnsi="Fira Sans Light" w:cstheme="majorHAnsi"/>
          <w:sz w:val="24"/>
          <w:szCs w:val="24"/>
        </w:rPr>
        <w:t>Identify responsible parties to complete each action item.</w:t>
      </w:r>
    </w:p>
    <w:p w14:paraId="3A7E6A87" w14:textId="77777777" w:rsidR="00AE0977" w:rsidRPr="00941484" w:rsidRDefault="00AE0977" w:rsidP="00AE0977">
      <w:pPr>
        <w:pStyle w:val="ListParagraph"/>
        <w:ind w:left="1080"/>
        <w:rPr>
          <w:rFonts w:ascii="Fira Sans Light" w:hAnsi="Fira Sans Light" w:cstheme="majorHAnsi"/>
          <w:sz w:val="24"/>
          <w:szCs w:val="24"/>
        </w:rPr>
      </w:pPr>
    </w:p>
    <w:p w14:paraId="1EC98C3F" w14:textId="77777777" w:rsidR="00AE0977" w:rsidRDefault="00AE0977" w:rsidP="00AE0977">
      <w:pPr>
        <w:pStyle w:val="ListParagraph"/>
        <w:numPr>
          <w:ilvl w:val="0"/>
          <w:numId w:val="1"/>
        </w:numPr>
        <w:rPr>
          <w:rFonts w:ascii="Fira Sans Light" w:hAnsi="Fira Sans Light" w:cstheme="majorHAnsi"/>
          <w:sz w:val="24"/>
          <w:szCs w:val="24"/>
        </w:rPr>
      </w:pPr>
      <w:r w:rsidRPr="00941484">
        <w:rPr>
          <w:rFonts w:ascii="Fira Sans Light" w:hAnsi="Fira Sans Light" w:cstheme="majorHAnsi"/>
          <w:sz w:val="24"/>
          <w:szCs w:val="24"/>
        </w:rPr>
        <w:t>The action item draft produced during the week eight meeting should be cleaned up and included, along with any edits agreed upon by the self-assessment team, in the Self-Assessment Report Draft for finalization. The final Self-Assessment Report should then be uploaded to the CAS Teams site.</w:t>
      </w:r>
    </w:p>
    <w:p w14:paraId="1437AF98" w14:textId="1BC65AAF" w:rsidR="00AA6DE3" w:rsidRPr="007467C1" w:rsidRDefault="00AE0977" w:rsidP="007467C1">
      <w:pPr>
        <w:pStyle w:val="Heading2"/>
        <w:spacing w:after="240"/>
        <w:rPr>
          <w:rFonts w:ascii="Fira Sans Light" w:hAnsi="Fira Sans Light"/>
          <w:b/>
          <w:bCs/>
          <w:sz w:val="24"/>
          <w:szCs w:val="24"/>
        </w:rPr>
      </w:pPr>
      <w:r w:rsidRPr="007467C1">
        <w:rPr>
          <w:rFonts w:ascii="Fira Sans Light" w:hAnsi="Fira Sans Light"/>
          <w:b/>
          <w:bCs/>
          <w:sz w:val="24"/>
          <w:szCs w:val="24"/>
        </w:rPr>
        <w:t>Process Timeline:</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8100"/>
        <w:gridCol w:w="1080"/>
        <w:gridCol w:w="810"/>
      </w:tblGrid>
      <w:tr w:rsidR="00AA6DE3" w:rsidRPr="00AE0977" w14:paraId="32F20BB8" w14:textId="77777777" w:rsidTr="00AA6DE3">
        <w:trPr>
          <w:trHeight w:val="540"/>
        </w:trPr>
        <w:tc>
          <w:tcPr>
            <w:tcW w:w="805" w:type="dxa"/>
            <w:shd w:val="clear" w:color="auto" w:fill="auto"/>
            <w:noWrap/>
            <w:vAlign w:val="center"/>
            <w:hideMark/>
          </w:tcPr>
          <w:p w14:paraId="3DF4CB0E" w14:textId="265DDC18" w:rsidR="00AE0977" w:rsidRPr="00AA6DE3" w:rsidRDefault="00AA6DE3" w:rsidP="00E47E0E">
            <w:pPr>
              <w:spacing w:after="0" w:line="240" w:lineRule="auto"/>
              <w:rPr>
                <w:rFonts w:ascii="Fira Sans Light" w:eastAsia="Times New Roman" w:hAnsi="Fira Sans Light" w:cstheme="majorHAnsi"/>
                <w:b/>
                <w:color w:val="000000"/>
                <w:sz w:val="24"/>
                <w:szCs w:val="24"/>
              </w:rPr>
            </w:pPr>
            <w:r w:rsidRPr="00AA6DE3">
              <w:rPr>
                <w:rFonts w:ascii="Fira Sans Light" w:eastAsia="Times New Roman" w:hAnsi="Fira Sans Light" w:cstheme="majorHAnsi"/>
                <w:b/>
                <w:color w:val="000000"/>
                <w:sz w:val="24"/>
                <w:szCs w:val="24"/>
              </w:rPr>
              <w:t>Week</w:t>
            </w:r>
          </w:p>
        </w:tc>
        <w:tc>
          <w:tcPr>
            <w:tcW w:w="8100" w:type="dxa"/>
            <w:shd w:val="clear" w:color="auto" w:fill="auto"/>
            <w:noWrap/>
            <w:vAlign w:val="center"/>
            <w:hideMark/>
          </w:tcPr>
          <w:p w14:paraId="731EA58F" w14:textId="4C1FF204" w:rsidR="00AE0977" w:rsidRPr="00AA6DE3" w:rsidRDefault="00AE0977" w:rsidP="00E47E0E">
            <w:pPr>
              <w:spacing w:after="0" w:line="240" w:lineRule="auto"/>
              <w:rPr>
                <w:rFonts w:ascii="Fira Sans Light" w:eastAsia="Times New Roman" w:hAnsi="Fira Sans Light" w:cstheme="majorBidi"/>
                <w:b/>
                <w:color w:val="000000"/>
                <w:sz w:val="24"/>
                <w:szCs w:val="24"/>
              </w:rPr>
            </w:pPr>
            <w:r w:rsidRPr="00AA6DE3">
              <w:rPr>
                <w:rFonts w:ascii="Fira Sans Light" w:eastAsia="Times New Roman" w:hAnsi="Fira Sans Light" w:cstheme="majorBidi"/>
                <w:b/>
                <w:color w:val="000000" w:themeColor="text1"/>
                <w:sz w:val="24"/>
                <w:szCs w:val="24"/>
              </w:rPr>
              <w:t>Emphasis</w:t>
            </w:r>
          </w:p>
        </w:tc>
        <w:tc>
          <w:tcPr>
            <w:tcW w:w="1080" w:type="dxa"/>
            <w:shd w:val="clear" w:color="auto" w:fill="auto"/>
            <w:noWrap/>
            <w:vAlign w:val="center"/>
            <w:hideMark/>
          </w:tcPr>
          <w:p w14:paraId="79C2581B" w14:textId="7FFC522F" w:rsidR="00AE0977" w:rsidRPr="00AA6DE3" w:rsidRDefault="00AE0977" w:rsidP="00E47E0E">
            <w:pPr>
              <w:spacing w:after="0" w:line="240" w:lineRule="auto"/>
              <w:rPr>
                <w:rFonts w:ascii="Fira Sans Light" w:eastAsia="Times New Roman" w:hAnsi="Fira Sans Light" w:cstheme="majorBidi"/>
                <w:b/>
                <w:color w:val="000000"/>
                <w:sz w:val="24"/>
                <w:szCs w:val="24"/>
              </w:rPr>
            </w:pPr>
            <w:r w:rsidRPr="00AA6DE3">
              <w:rPr>
                <w:rFonts w:ascii="Fira Sans Light" w:eastAsia="Times New Roman" w:hAnsi="Fira Sans Light" w:cstheme="majorBidi"/>
                <w:b/>
                <w:color w:val="000000" w:themeColor="text1"/>
                <w:sz w:val="24"/>
                <w:szCs w:val="24"/>
              </w:rPr>
              <w:t>Meeting Time</w:t>
            </w:r>
          </w:p>
        </w:tc>
        <w:tc>
          <w:tcPr>
            <w:tcW w:w="810" w:type="dxa"/>
            <w:shd w:val="clear" w:color="auto" w:fill="auto"/>
            <w:noWrap/>
            <w:vAlign w:val="center"/>
            <w:hideMark/>
          </w:tcPr>
          <w:p w14:paraId="7E82CB84" w14:textId="77777777" w:rsidR="00AE0977" w:rsidRPr="00AA6DE3" w:rsidRDefault="00AE0977" w:rsidP="00E47E0E">
            <w:pPr>
              <w:spacing w:after="0" w:line="240" w:lineRule="auto"/>
              <w:rPr>
                <w:rFonts w:ascii="Fira Sans Light" w:eastAsia="Times New Roman" w:hAnsi="Fira Sans Light" w:cstheme="majorHAnsi"/>
                <w:b/>
                <w:color w:val="000000"/>
                <w:sz w:val="24"/>
                <w:szCs w:val="24"/>
              </w:rPr>
            </w:pPr>
            <w:r w:rsidRPr="00AA6DE3">
              <w:rPr>
                <w:rFonts w:ascii="Fira Sans Light" w:eastAsia="Times New Roman" w:hAnsi="Fira Sans Light" w:cstheme="majorHAnsi"/>
                <w:b/>
                <w:color w:val="000000"/>
                <w:sz w:val="24"/>
                <w:szCs w:val="24"/>
              </w:rPr>
              <w:t xml:space="preserve">Prep </w:t>
            </w:r>
          </w:p>
          <w:p w14:paraId="2FBAF913" w14:textId="2F7A3653" w:rsidR="00AE0977" w:rsidRPr="00AA6DE3" w:rsidRDefault="00AE0977" w:rsidP="00E47E0E">
            <w:pPr>
              <w:spacing w:after="0" w:line="240" w:lineRule="auto"/>
              <w:rPr>
                <w:rFonts w:ascii="Fira Sans Light" w:eastAsia="Times New Roman" w:hAnsi="Fira Sans Light" w:cstheme="majorHAnsi"/>
                <w:b/>
                <w:color w:val="000000"/>
                <w:sz w:val="24"/>
                <w:szCs w:val="24"/>
                <w:u w:val="single"/>
              </w:rPr>
            </w:pPr>
            <w:r w:rsidRPr="00AA6DE3">
              <w:rPr>
                <w:rFonts w:ascii="Fira Sans Light" w:eastAsia="Times New Roman" w:hAnsi="Fira Sans Light" w:cstheme="majorHAnsi"/>
                <w:b/>
                <w:color w:val="000000"/>
                <w:sz w:val="24"/>
                <w:szCs w:val="24"/>
              </w:rPr>
              <w:t>Time</w:t>
            </w:r>
          </w:p>
        </w:tc>
      </w:tr>
      <w:tr w:rsidR="00AA6DE3" w:rsidRPr="00AE0977" w14:paraId="587888E5" w14:textId="77777777" w:rsidTr="00AA6DE3">
        <w:trPr>
          <w:trHeight w:val="300"/>
        </w:trPr>
        <w:tc>
          <w:tcPr>
            <w:tcW w:w="805" w:type="dxa"/>
            <w:shd w:val="clear" w:color="auto" w:fill="auto"/>
            <w:noWrap/>
            <w:vAlign w:val="center"/>
            <w:hideMark/>
          </w:tcPr>
          <w:p w14:paraId="0AB86611" w14:textId="79D14D2C" w:rsidR="00AE0977" w:rsidRPr="00AE0977" w:rsidRDefault="00AE0977" w:rsidP="00E47E0E">
            <w:pPr>
              <w:spacing w:after="0" w:line="240" w:lineRule="auto"/>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1</w:t>
            </w:r>
          </w:p>
        </w:tc>
        <w:tc>
          <w:tcPr>
            <w:tcW w:w="8100" w:type="dxa"/>
            <w:shd w:val="clear" w:color="auto" w:fill="auto"/>
            <w:noWrap/>
            <w:vAlign w:val="center"/>
            <w:hideMark/>
          </w:tcPr>
          <w:p w14:paraId="5F3053F2" w14:textId="5F2B638F" w:rsidR="00AE0977" w:rsidRPr="00AE0977" w:rsidRDefault="00AE0977" w:rsidP="00E47E0E">
            <w:pPr>
              <w:spacing w:after="0" w:line="240" w:lineRule="auto"/>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Process Overview</w:t>
            </w:r>
            <w:r w:rsidR="00AA6DE3">
              <w:rPr>
                <w:rFonts w:ascii="Fira Sans Light" w:eastAsia="Times New Roman" w:hAnsi="Fira Sans Light" w:cstheme="majorHAnsi"/>
                <w:color w:val="000000"/>
                <w:sz w:val="24"/>
                <w:szCs w:val="24"/>
              </w:rPr>
              <w:t>;</w:t>
            </w:r>
            <w:r w:rsidRPr="00AE0977">
              <w:rPr>
                <w:rFonts w:ascii="Fira Sans Light" w:eastAsia="Times New Roman" w:hAnsi="Fira Sans Light" w:cstheme="majorHAnsi"/>
                <w:color w:val="000000"/>
                <w:sz w:val="24"/>
                <w:szCs w:val="24"/>
              </w:rPr>
              <w:t xml:space="preserve"> Introduce Evidence</w:t>
            </w:r>
          </w:p>
        </w:tc>
        <w:tc>
          <w:tcPr>
            <w:tcW w:w="1080" w:type="dxa"/>
            <w:shd w:val="clear" w:color="auto" w:fill="auto"/>
            <w:noWrap/>
            <w:vAlign w:val="center"/>
            <w:hideMark/>
          </w:tcPr>
          <w:p w14:paraId="5C11467A" w14:textId="77777777" w:rsidR="00AE0977" w:rsidRPr="00AE0977" w:rsidRDefault="00AE0977" w:rsidP="00E47E0E">
            <w:pPr>
              <w:spacing w:after="0" w:line="240" w:lineRule="auto"/>
              <w:jc w:val="right"/>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60m</w:t>
            </w:r>
          </w:p>
        </w:tc>
        <w:tc>
          <w:tcPr>
            <w:tcW w:w="810" w:type="dxa"/>
            <w:shd w:val="clear" w:color="auto" w:fill="auto"/>
            <w:noWrap/>
            <w:vAlign w:val="center"/>
            <w:hideMark/>
          </w:tcPr>
          <w:p w14:paraId="1DC98ED0" w14:textId="77777777" w:rsidR="00AE0977" w:rsidRPr="00AE0977" w:rsidRDefault="00AE0977" w:rsidP="00E47E0E">
            <w:pPr>
              <w:spacing w:after="0" w:line="240" w:lineRule="auto"/>
              <w:jc w:val="right"/>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n/a</w:t>
            </w:r>
          </w:p>
        </w:tc>
      </w:tr>
      <w:tr w:rsidR="00AA6DE3" w:rsidRPr="00AE0977" w14:paraId="437AE978" w14:textId="77777777" w:rsidTr="00AA6DE3">
        <w:trPr>
          <w:trHeight w:val="70"/>
        </w:trPr>
        <w:tc>
          <w:tcPr>
            <w:tcW w:w="805" w:type="dxa"/>
            <w:shd w:val="clear" w:color="auto" w:fill="auto"/>
            <w:noWrap/>
            <w:vAlign w:val="center"/>
            <w:hideMark/>
          </w:tcPr>
          <w:p w14:paraId="23289009" w14:textId="6D8A839F" w:rsidR="00AE0977" w:rsidRPr="00AE0977" w:rsidRDefault="00AE0977" w:rsidP="00E47E0E">
            <w:pPr>
              <w:spacing w:after="0" w:line="240" w:lineRule="auto"/>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2</w:t>
            </w:r>
          </w:p>
        </w:tc>
        <w:tc>
          <w:tcPr>
            <w:tcW w:w="8100" w:type="dxa"/>
            <w:shd w:val="clear" w:color="auto" w:fill="auto"/>
            <w:noWrap/>
            <w:vAlign w:val="center"/>
            <w:hideMark/>
          </w:tcPr>
          <w:p w14:paraId="662A70C0" w14:textId="200DC343" w:rsidR="00AE0977" w:rsidRPr="00AE0977" w:rsidRDefault="00AE0977" w:rsidP="00E47E0E">
            <w:pPr>
              <w:spacing w:after="0" w:line="240" w:lineRule="auto"/>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Missio</w:t>
            </w:r>
            <w:r w:rsidR="00AA6DE3">
              <w:rPr>
                <w:rFonts w:ascii="Fira Sans Light" w:eastAsia="Times New Roman" w:hAnsi="Fira Sans Light" w:cstheme="majorHAnsi"/>
                <w:color w:val="000000"/>
                <w:sz w:val="24"/>
                <w:szCs w:val="24"/>
              </w:rPr>
              <w:t xml:space="preserve">n; </w:t>
            </w:r>
            <w:r w:rsidRPr="00AE0977">
              <w:rPr>
                <w:rFonts w:ascii="Fira Sans Light" w:eastAsia="Times New Roman" w:hAnsi="Fira Sans Light" w:cstheme="majorHAnsi"/>
                <w:color w:val="000000"/>
                <w:sz w:val="24"/>
                <w:szCs w:val="24"/>
              </w:rPr>
              <w:t>Program</w:t>
            </w:r>
            <w:r>
              <w:rPr>
                <w:rFonts w:ascii="Fira Sans Light" w:eastAsia="Times New Roman" w:hAnsi="Fira Sans Light" w:cstheme="majorHAnsi"/>
                <w:color w:val="000000"/>
                <w:sz w:val="24"/>
                <w:szCs w:val="24"/>
              </w:rPr>
              <w:t xml:space="preserve">s </w:t>
            </w:r>
            <w:r w:rsidR="00AA6DE3">
              <w:rPr>
                <w:rFonts w:ascii="Fira Sans Light" w:eastAsia="Times New Roman" w:hAnsi="Fira Sans Light" w:cstheme="majorHAnsi"/>
                <w:color w:val="000000"/>
                <w:sz w:val="24"/>
                <w:szCs w:val="24"/>
              </w:rPr>
              <w:t xml:space="preserve">&amp; </w:t>
            </w:r>
            <w:r>
              <w:rPr>
                <w:rFonts w:ascii="Fira Sans Light" w:eastAsia="Times New Roman" w:hAnsi="Fira Sans Light" w:cstheme="majorHAnsi"/>
                <w:color w:val="000000"/>
                <w:sz w:val="24"/>
                <w:szCs w:val="24"/>
              </w:rPr>
              <w:t xml:space="preserve">Services </w:t>
            </w:r>
            <w:r w:rsidRPr="00AE0977">
              <w:rPr>
                <w:rFonts w:ascii="Fira Sans Light" w:eastAsia="Times New Roman" w:hAnsi="Fira Sans Light" w:cstheme="majorHAnsi"/>
                <w:color w:val="000000"/>
                <w:sz w:val="24"/>
                <w:szCs w:val="24"/>
              </w:rPr>
              <w:t>(</w:t>
            </w:r>
            <w:r w:rsidR="00AA6DE3">
              <w:rPr>
                <w:rFonts w:ascii="Fira Sans Light" w:eastAsia="Times New Roman" w:hAnsi="Fira Sans Light" w:cstheme="majorHAnsi"/>
                <w:color w:val="000000"/>
                <w:sz w:val="24"/>
                <w:szCs w:val="24"/>
              </w:rPr>
              <w:t xml:space="preserve">Standards </w:t>
            </w:r>
            <w:r w:rsidRPr="00AE0977">
              <w:rPr>
                <w:rFonts w:ascii="Fira Sans Light" w:eastAsia="Times New Roman" w:hAnsi="Fira Sans Light" w:cstheme="majorHAnsi"/>
                <w:color w:val="000000"/>
                <w:sz w:val="24"/>
                <w:szCs w:val="24"/>
              </w:rPr>
              <w:t>1-2)</w:t>
            </w:r>
          </w:p>
        </w:tc>
        <w:tc>
          <w:tcPr>
            <w:tcW w:w="1080" w:type="dxa"/>
            <w:shd w:val="clear" w:color="auto" w:fill="auto"/>
            <w:noWrap/>
            <w:vAlign w:val="center"/>
            <w:hideMark/>
          </w:tcPr>
          <w:p w14:paraId="05345A88" w14:textId="77777777" w:rsidR="00AE0977" w:rsidRPr="00AE0977" w:rsidRDefault="00AE0977" w:rsidP="00E47E0E">
            <w:pPr>
              <w:spacing w:after="0" w:line="240" w:lineRule="auto"/>
              <w:jc w:val="right"/>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90m</w:t>
            </w:r>
          </w:p>
        </w:tc>
        <w:tc>
          <w:tcPr>
            <w:tcW w:w="810" w:type="dxa"/>
            <w:shd w:val="clear" w:color="auto" w:fill="auto"/>
            <w:noWrap/>
            <w:vAlign w:val="center"/>
            <w:hideMark/>
          </w:tcPr>
          <w:p w14:paraId="4481D2A5" w14:textId="77777777" w:rsidR="00AE0977" w:rsidRPr="00AE0977" w:rsidRDefault="00AE0977" w:rsidP="00E47E0E">
            <w:pPr>
              <w:spacing w:after="0" w:line="240" w:lineRule="auto"/>
              <w:jc w:val="right"/>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45m</w:t>
            </w:r>
          </w:p>
        </w:tc>
      </w:tr>
      <w:tr w:rsidR="00AA6DE3" w:rsidRPr="00AE0977" w14:paraId="353AEC91" w14:textId="77777777" w:rsidTr="00AA6DE3">
        <w:trPr>
          <w:trHeight w:val="70"/>
        </w:trPr>
        <w:tc>
          <w:tcPr>
            <w:tcW w:w="805" w:type="dxa"/>
            <w:shd w:val="clear" w:color="auto" w:fill="auto"/>
            <w:noWrap/>
            <w:vAlign w:val="center"/>
            <w:hideMark/>
          </w:tcPr>
          <w:p w14:paraId="5D5B7F27" w14:textId="75E867AA" w:rsidR="00AE0977" w:rsidRPr="00AE0977" w:rsidRDefault="00AE0977" w:rsidP="00E47E0E">
            <w:pPr>
              <w:spacing w:after="0" w:line="240" w:lineRule="auto"/>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3</w:t>
            </w:r>
          </w:p>
        </w:tc>
        <w:tc>
          <w:tcPr>
            <w:tcW w:w="8100" w:type="dxa"/>
            <w:shd w:val="clear" w:color="auto" w:fill="auto"/>
            <w:noWrap/>
            <w:vAlign w:val="center"/>
            <w:hideMark/>
          </w:tcPr>
          <w:p w14:paraId="1A29DDDA" w14:textId="12AD7AE6" w:rsidR="00AE0977" w:rsidRPr="00AE0977" w:rsidRDefault="00AE0977" w:rsidP="00E47E0E">
            <w:pPr>
              <w:spacing w:after="0" w:line="240" w:lineRule="auto"/>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Student Learning</w:t>
            </w:r>
            <w:r>
              <w:rPr>
                <w:rFonts w:ascii="Fira Sans Light" w:eastAsia="Times New Roman" w:hAnsi="Fira Sans Light" w:cstheme="majorHAnsi"/>
                <w:color w:val="000000"/>
                <w:sz w:val="24"/>
                <w:szCs w:val="24"/>
              </w:rPr>
              <w:t xml:space="preserve">, </w:t>
            </w:r>
            <w:r w:rsidRPr="00AE0977">
              <w:rPr>
                <w:rFonts w:ascii="Fira Sans Light" w:eastAsia="Times New Roman" w:hAnsi="Fira Sans Light" w:cstheme="majorHAnsi"/>
                <w:color w:val="000000"/>
                <w:sz w:val="24"/>
                <w:szCs w:val="24"/>
              </w:rPr>
              <w:t>Development</w:t>
            </w:r>
            <w:r>
              <w:rPr>
                <w:rFonts w:ascii="Fira Sans Light" w:eastAsia="Times New Roman" w:hAnsi="Fira Sans Light" w:cstheme="majorHAnsi"/>
                <w:color w:val="000000"/>
                <w:sz w:val="24"/>
                <w:szCs w:val="24"/>
              </w:rPr>
              <w:t>, &amp; Success</w:t>
            </w:r>
            <w:r w:rsidR="00AA6DE3">
              <w:rPr>
                <w:rFonts w:ascii="Fira Sans Light" w:eastAsia="Times New Roman" w:hAnsi="Fira Sans Light" w:cstheme="majorHAnsi"/>
                <w:color w:val="000000"/>
                <w:sz w:val="24"/>
                <w:szCs w:val="24"/>
              </w:rPr>
              <w:t xml:space="preserve">; </w:t>
            </w:r>
            <w:r w:rsidRPr="00AE0977">
              <w:rPr>
                <w:rFonts w:ascii="Fira Sans Light" w:eastAsia="Times New Roman" w:hAnsi="Fira Sans Light" w:cstheme="majorHAnsi"/>
                <w:color w:val="000000"/>
                <w:sz w:val="24"/>
                <w:szCs w:val="24"/>
              </w:rPr>
              <w:t>Assessment (</w:t>
            </w:r>
            <w:r w:rsidR="00AA6DE3">
              <w:rPr>
                <w:rFonts w:ascii="Fira Sans Light" w:eastAsia="Times New Roman" w:hAnsi="Fira Sans Light" w:cstheme="majorHAnsi"/>
                <w:color w:val="000000"/>
                <w:sz w:val="24"/>
                <w:szCs w:val="24"/>
              </w:rPr>
              <w:t xml:space="preserve">Standards </w:t>
            </w:r>
            <w:r w:rsidRPr="00AE0977">
              <w:rPr>
                <w:rFonts w:ascii="Fira Sans Light" w:eastAsia="Times New Roman" w:hAnsi="Fira Sans Light" w:cstheme="majorHAnsi"/>
                <w:color w:val="000000"/>
                <w:sz w:val="24"/>
                <w:szCs w:val="24"/>
              </w:rPr>
              <w:t>3-4)</w:t>
            </w:r>
          </w:p>
        </w:tc>
        <w:tc>
          <w:tcPr>
            <w:tcW w:w="1080" w:type="dxa"/>
            <w:shd w:val="clear" w:color="auto" w:fill="auto"/>
            <w:noWrap/>
            <w:vAlign w:val="center"/>
            <w:hideMark/>
          </w:tcPr>
          <w:p w14:paraId="5330B023" w14:textId="77777777" w:rsidR="00AE0977" w:rsidRPr="00AE0977" w:rsidRDefault="00AE0977" w:rsidP="00E47E0E">
            <w:pPr>
              <w:spacing w:after="0" w:line="240" w:lineRule="auto"/>
              <w:jc w:val="right"/>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90m</w:t>
            </w:r>
          </w:p>
        </w:tc>
        <w:tc>
          <w:tcPr>
            <w:tcW w:w="810" w:type="dxa"/>
            <w:shd w:val="clear" w:color="auto" w:fill="auto"/>
            <w:noWrap/>
            <w:vAlign w:val="center"/>
            <w:hideMark/>
          </w:tcPr>
          <w:p w14:paraId="0DE2148C" w14:textId="77777777" w:rsidR="00AE0977" w:rsidRPr="00AE0977" w:rsidRDefault="00AE0977" w:rsidP="00E47E0E">
            <w:pPr>
              <w:spacing w:after="0" w:line="240" w:lineRule="auto"/>
              <w:jc w:val="right"/>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45m</w:t>
            </w:r>
          </w:p>
        </w:tc>
      </w:tr>
      <w:tr w:rsidR="00AA6DE3" w:rsidRPr="00AE0977" w14:paraId="349A36B3" w14:textId="77777777" w:rsidTr="00AA6DE3">
        <w:trPr>
          <w:trHeight w:val="197"/>
        </w:trPr>
        <w:tc>
          <w:tcPr>
            <w:tcW w:w="805" w:type="dxa"/>
            <w:shd w:val="clear" w:color="auto" w:fill="auto"/>
            <w:noWrap/>
            <w:vAlign w:val="center"/>
            <w:hideMark/>
          </w:tcPr>
          <w:p w14:paraId="309248E0" w14:textId="6FDDDD2A" w:rsidR="00AE0977" w:rsidRPr="00AE0977" w:rsidRDefault="00AE0977" w:rsidP="00E47E0E">
            <w:pPr>
              <w:spacing w:after="0" w:line="240" w:lineRule="auto"/>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4</w:t>
            </w:r>
          </w:p>
        </w:tc>
        <w:tc>
          <w:tcPr>
            <w:tcW w:w="8100" w:type="dxa"/>
            <w:shd w:val="clear" w:color="auto" w:fill="auto"/>
            <w:noWrap/>
            <w:vAlign w:val="center"/>
            <w:hideMark/>
          </w:tcPr>
          <w:p w14:paraId="770276D0" w14:textId="71B81C46" w:rsidR="00AE0977" w:rsidRPr="00AE0977" w:rsidRDefault="00AE0977" w:rsidP="00E47E0E">
            <w:pPr>
              <w:spacing w:after="0" w:line="240" w:lineRule="auto"/>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 xml:space="preserve">Access, </w:t>
            </w:r>
            <w:r w:rsidR="00AA6DE3">
              <w:rPr>
                <w:rFonts w:ascii="Fira Sans Light" w:eastAsia="Times New Roman" w:hAnsi="Fira Sans Light" w:cstheme="majorHAnsi"/>
                <w:color w:val="000000"/>
                <w:sz w:val="24"/>
                <w:szCs w:val="24"/>
              </w:rPr>
              <w:t xml:space="preserve">Diversity, </w:t>
            </w:r>
            <w:r w:rsidRPr="00AE0977">
              <w:rPr>
                <w:rFonts w:ascii="Fira Sans Light" w:eastAsia="Times New Roman" w:hAnsi="Fira Sans Light" w:cstheme="majorHAnsi"/>
                <w:color w:val="000000"/>
                <w:sz w:val="24"/>
                <w:szCs w:val="24"/>
              </w:rPr>
              <w:t xml:space="preserve">Equity, </w:t>
            </w:r>
            <w:r w:rsidR="00AA6DE3">
              <w:rPr>
                <w:rFonts w:ascii="Fira Sans Light" w:eastAsia="Times New Roman" w:hAnsi="Fira Sans Light" w:cstheme="majorHAnsi"/>
                <w:color w:val="000000"/>
                <w:sz w:val="24"/>
                <w:szCs w:val="24"/>
              </w:rPr>
              <w:t xml:space="preserve">Inclusion, &amp; Justice; </w:t>
            </w:r>
            <w:r w:rsidRPr="00AE0977">
              <w:rPr>
                <w:rFonts w:ascii="Fira Sans Light" w:eastAsia="Times New Roman" w:hAnsi="Fira Sans Light" w:cstheme="majorHAnsi"/>
                <w:color w:val="000000"/>
                <w:sz w:val="24"/>
                <w:szCs w:val="24"/>
              </w:rPr>
              <w:t>Leadership (</w:t>
            </w:r>
            <w:r w:rsidR="00AA6DE3">
              <w:rPr>
                <w:rFonts w:ascii="Fira Sans Light" w:eastAsia="Times New Roman" w:hAnsi="Fira Sans Light" w:cstheme="majorHAnsi"/>
                <w:color w:val="000000"/>
                <w:sz w:val="24"/>
                <w:szCs w:val="24"/>
              </w:rPr>
              <w:t xml:space="preserve">Standards </w:t>
            </w:r>
            <w:r w:rsidRPr="00AE0977">
              <w:rPr>
                <w:rFonts w:ascii="Fira Sans Light" w:eastAsia="Times New Roman" w:hAnsi="Fira Sans Light" w:cstheme="majorHAnsi"/>
                <w:color w:val="000000"/>
                <w:sz w:val="24"/>
                <w:szCs w:val="24"/>
              </w:rPr>
              <w:t>5-6)</w:t>
            </w:r>
          </w:p>
        </w:tc>
        <w:tc>
          <w:tcPr>
            <w:tcW w:w="1080" w:type="dxa"/>
            <w:shd w:val="clear" w:color="auto" w:fill="auto"/>
            <w:noWrap/>
            <w:vAlign w:val="center"/>
            <w:hideMark/>
          </w:tcPr>
          <w:p w14:paraId="349507AB" w14:textId="77777777" w:rsidR="00AE0977" w:rsidRPr="00AE0977" w:rsidRDefault="00AE0977" w:rsidP="00E47E0E">
            <w:pPr>
              <w:spacing w:after="0" w:line="240" w:lineRule="auto"/>
              <w:jc w:val="right"/>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90m</w:t>
            </w:r>
          </w:p>
        </w:tc>
        <w:tc>
          <w:tcPr>
            <w:tcW w:w="810" w:type="dxa"/>
            <w:shd w:val="clear" w:color="auto" w:fill="auto"/>
            <w:noWrap/>
            <w:vAlign w:val="center"/>
            <w:hideMark/>
          </w:tcPr>
          <w:p w14:paraId="5453F992" w14:textId="77777777" w:rsidR="00AE0977" w:rsidRPr="00AE0977" w:rsidRDefault="00AE0977" w:rsidP="00E47E0E">
            <w:pPr>
              <w:spacing w:after="0" w:line="240" w:lineRule="auto"/>
              <w:jc w:val="right"/>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45m</w:t>
            </w:r>
          </w:p>
        </w:tc>
      </w:tr>
      <w:tr w:rsidR="00AA6DE3" w:rsidRPr="00AE0977" w14:paraId="338B4CCB" w14:textId="77777777" w:rsidTr="00AA6DE3">
        <w:trPr>
          <w:trHeight w:val="300"/>
        </w:trPr>
        <w:tc>
          <w:tcPr>
            <w:tcW w:w="805" w:type="dxa"/>
            <w:shd w:val="clear" w:color="auto" w:fill="auto"/>
            <w:noWrap/>
            <w:vAlign w:val="center"/>
            <w:hideMark/>
          </w:tcPr>
          <w:p w14:paraId="1B3130A5" w14:textId="2D7A9091" w:rsidR="00AE0977" w:rsidRPr="00AE0977" w:rsidRDefault="00AE0977" w:rsidP="00E47E0E">
            <w:pPr>
              <w:spacing w:after="0" w:line="240" w:lineRule="auto"/>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5</w:t>
            </w:r>
          </w:p>
        </w:tc>
        <w:tc>
          <w:tcPr>
            <w:tcW w:w="8100" w:type="dxa"/>
            <w:shd w:val="clear" w:color="auto" w:fill="auto"/>
            <w:noWrap/>
            <w:vAlign w:val="center"/>
            <w:hideMark/>
          </w:tcPr>
          <w:p w14:paraId="4923E596" w14:textId="6F0D5C50" w:rsidR="00AE0977" w:rsidRPr="00AE0977" w:rsidRDefault="00AE0977" w:rsidP="00E47E0E">
            <w:pPr>
              <w:spacing w:after="0" w:line="240" w:lineRule="auto"/>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Human Resources</w:t>
            </w:r>
            <w:r w:rsidR="007467C1">
              <w:rPr>
                <w:rFonts w:ascii="Fira Sans Light" w:eastAsia="Times New Roman" w:hAnsi="Fira Sans Light" w:cstheme="majorHAnsi"/>
                <w:color w:val="000000"/>
                <w:sz w:val="24"/>
                <w:szCs w:val="24"/>
              </w:rPr>
              <w:t xml:space="preserve">; </w:t>
            </w:r>
            <w:r w:rsidRPr="00AE0977">
              <w:rPr>
                <w:rFonts w:ascii="Fira Sans Light" w:eastAsia="Times New Roman" w:hAnsi="Fira Sans Light" w:cstheme="majorHAnsi"/>
                <w:color w:val="000000"/>
                <w:sz w:val="24"/>
                <w:szCs w:val="24"/>
              </w:rPr>
              <w:t>Collaboration &amp; Communication (</w:t>
            </w:r>
            <w:r w:rsidR="00AA6DE3">
              <w:rPr>
                <w:rFonts w:ascii="Fira Sans Light" w:eastAsia="Times New Roman" w:hAnsi="Fira Sans Light" w:cstheme="majorHAnsi"/>
                <w:color w:val="000000"/>
                <w:sz w:val="24"/>
                <w:szCs w:val="24"/>
              </w:rPr>
              <w:t xml:space="preserve">Standards </w:t>
            </w:r>
            <w:r w:rsidRPr="00AE0977">
              <w:rPr>
                <w:rFonts w:ascii="Fira Sans Light" w:eastAsia="Times New Roman" w:hAnsi="Fira Sans Light" w:cstheme="majorHAnsi"/>
                <w:color w:val="000000"/>
                <w:sz w:val="24"/>
                <w:szCs w:val="24"/>
              </w:rPr>
              <w:t>7-8)</w:t>
            </w:r>
          </w:p>
        </w:tc>
        <w:tc>
          <w:tcPr>
            <w:tcW w:w="1080" w:type="dxa"/>
            <w:shd w:val="clear" w:color="auto" w:fill="auto"/>
            <w:noWrap/>
            <w:vAlign w:val="center"/>
            <w:hideMark/>
          </w:tcPr>
          <w:p w14:paraId="012B7573" w14:textId="77777777" w:rsidR="00AE0977" w:rsidRPr="00AE0977" w:rsidRDefault="00AE0977" w:rsidP="00E47E0E">
            <w:pPr>
              <w:spacing w:after="0" w:line="240" w:lineRule="auto"/>
              <w:jc w:val="right"/>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90m</w:t>
            </w:r>
          </w:p>
        </w:tc>
        <w:tc>
          <w:tcPr>
            <w:tcW w:w="810" w:type="dxa"/>
            <w:shd w:val="clear" w:color="auto" w:fill="auto"/>
            <w:noWrap/>
            <w:vAlign w:val="center"/>
            <w:hideMark/>
          </w:tcPr>
          <w:p w14:paraId="7B457AF7" w14:textId="77777777" w:rsidR="00AE0977" w:rsidRPr="00AE0977" w:rsidRDefault="00AE0977" w:rsidP="00E47E0E">
            <w:pPr>
              <w:spacing w:after="0" w:line="240" w:lineRule="auto"/>
              <w:jc w:val="right"/>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45m</w:t>
            </w:r>
          </w:p>
        </w:tc>
      </w:tr>
      <w:tr w:rsidR="00AA6DE3" w:rsidRPr="00AE0977" w14:paraId="06010340" w14:textId="77777777" w:rsidTr="00AA6DE3">
        <w:trPr>
          <w:trHeight w:val="300"/>
        </w:trPr>
        <w:tc>
          <w:tcPr>
            <w:tcW w:w="805" w:type="dxa"/>
            <w:shd w:val="clear" w:color="auto" w:fill="auto"/>
            <w:noWrap/>
            <w:vAlign w:val="center"/>
            <w:hideMark/>
          </w:tcPr>
          <w:p w14:paraId="020DDEE4" w14:textId="5208CB57" w:rsidR="00AE0977" w:rsidRPr="00AE0977" w:rsidRDefault="00AE0977" w:rsidP="00E47E0E">
            <w:pPr>
              <w:spacing w:after="0" w:line="240" w:lineRule="auto"/>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6</w:t>
            </w:r>
          </w:p>
        </w:tc>
        <w:tc>
          <w:tcPr>
            <w:tcW w:w="8100" w:type="dxa"/>
            <w:shd w:val="clear" w:color="auto" w:fill="auto"/>
            <w:noWrap/>
            <w:vAlign w:val="center"/>
            <w:hideMark/>
          </w:tcPr>
          <w:p w14:paraId="692C8DD1" w14:textId="1B0E97EB" w:rsidR="00AE0977" w:rsidRPr="00AE0977" w:rsidRDefault="00AE0977" w:rsidP="00E47E0E">
            <w:pPr>
              <w:spacing w:after="0" w:line="240" w:lineRule="auto"/>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Ethics</w:t>
            </w:r>
            <w:r w:rsidR="007467C1">
              <w:rPr>
                <w:rFonts w:ascii="Fira Sans Light" w:eastAsia="Times New Roman" w:hAnsi="Fira Sans Light" w:cstheme="majorHAnsi"/>
                <w:color w:val="000000"/>
                <w:sz w:val="24"/>
                <w:szCs w:val="24"/>
              </w:rPr>
              <w:t>, Law,</w:t>
            </w:r>
            <w:r w:rsidRPr="00AE0977">
              <w:rPr>
                <w:rFonts w:ascii="Fira Sans Light" w:eastAsia="Times New Roman" w:hAnsi="Fira Sans Light" w:cstheme="majorHAnsi"/>
                <w:color w:val="000000"/>
                <w:sz w:val="24"/>
                <w:szCs w:val="24"/>
              </w:rPr>
              <w:t xml:space="preserve"> &amp; Policy</w:t>
            </w:r>
            <w:r w:rsidR="007467C1">
              <w:rPr>
                <w:rFonts w:ascii="Fira Sans Light" w:eastAsia="Times New Roman" w:hAnsi="Fira Sans Light" w:cstheme="majorHAnsi"/>
                <w:color w:val="000000"/>
                <w:sz w:val="24"/>
                <w:szCs w:val="24"/>
              </w:rPr>
              <w:t xml:space="preserve">; </w:t>
            </w:r>
            <w:r w:rsidRPr="00AE0977">
              <w:rPr>
                <w:rFonts w:ascii="Fira Sans Light" w:eastAsia="Times New Roman" w:hAnsi="Fira Sans Light" w:cstheme="majorHAnsi"/>
                <w:color w:val="000000"/>
                <w:sz w:val="24"/>
                <w:szCs w:val="24"/>
              </w:rPr>
              <w:t>Financial Resources (</w:t>
            </w:r>
            <w:r w:rsidR="00AA6DE3">
              <w:rPr>
                <w:rFonts w:ascii="Fira Sans Light" w:eastAsia="Times New Roman" w:hAnsi="Fira Sans Light" w:cstheme="majorHAnsi"/>
                <w:color w:val="000000"/>
                <w:sz w:val="24"/>
                <w:szCs w:val="24"/>
              </w:rPr>
              <w:t xml:space="preserve">Standards </w:t>
            </w:r>
            <w:r w:rsidRPr="00AE0977">
              <w:rPr>
                <w:rFonts w:ascii="Fira Sans Light" w:eastAsia="Times New Roman" w:hAnsi="Fira Sans Light" w:cstheme="majorHAnsi"/>
                <w:color w:val="000000"/>
                <w:sz w:val="24"/>
                <w:szCs w:val="24"/>
              </w:rPr>
              <w:t>9-10)</w:t>
            </w:r>
          </w:p>
        </w:tc>
        <w:tc>
          <w:tcPr>
            <w:tcW w:w="1080" w:type="dxa"/>
            <w:shd w:val="clear" w:color="auto" w:fill="auto"/>
            <w:noWrap/>
            <w:vAlign w:val="center"/>
            <w:hideMark/>
          </w:tcPr>
          <w:p w14:paraId="6D498595" w14:textId="77777777" w:rsidR="00AE0977" w:rsidRPr="00AE0977" w:rsidRDefault="00AE0977" w:rsidP="00E47E0E">
            <w:pPr>
              <w:spacing w:after="0" w:line="240" w:lineRule="auto"/>
              <w:jc w:val="right"/>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90m</w:t>
            </w:r>
          </w:p>
        </w:tc>
        <w:tc>
          <w:tcPr>
            <w:tcW w:w="810" w:type="dxa"/>
            <w:shd w:val="clear" w:color="auto" w:fill="auto"/>
            <w:noWrap/>
            <w:vAlign w:val="center"/>
            <w:hideMark/>
          </w:tcPr>
          <w:p w14:paraId="3896A33C" w14:textId="77777777" w:rsidR="00AE0977" w:rsidRPr="00AE0977" w:rsidRDefault="00AE0977" w:rsidP="00E47E0E">
            <w:pPr>
              <w:spacing w:after="0" w:line="240" w:lineRule="auto"/>
              <w:jc w:val="right"/>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45m</w:t>
            </w:r>
          </w:p>
        </w:tc>
      </w:tr>
      <w:tr w:rsidR="00AA6DE3" w:rsidRPr="00AE0977" w14:paraId="7A71C5E3" w14:textId="77777777" w:rsidTr="00AA6DE3">
        <w:trPr>
          <w:trHeight w:val="300"/>
        </w:trPr>
        <w:tc>
          <w:tcPr>
            <w:tcW w:w="805" w:type="dxa"/>
            <w:shd w:val="clear" w:color="auto" w:fill="auto"/>
            <w:noWrap/>
            <w:vAlign w:val="center"/>
            <w:hideMark/>
          </w:tcPr>
          <w:p w14:paraId="6FE6688B" w14:textId="366D9914" w:rsidR="00AE0977" w:rsidRPr="00AE0977" w:rsidRDefault="00AE0977" w:rsidP="00E47E0E">
            <w:pPr>
              <w:spacing w:after="0" w:line="240" w:lineRule="auto"/>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7</w:t>
            </w:r>
          </w:p>
        </w:tc>
        <w:tc>
          <w:tcPr>
            <w:tcW w:w="8100" w:type="dxa"/>
            <w:shd w:val="clear" w:color="auto" w:fill="auto"/>
            <w:noWrap/>
            <w:vAlign w:val="center"/>
            <w:hideMark/>
          </w:tcPr>
          <w:p w14:paraId="75458278" w14:textId="0AAD909C" w:rsidR="00AE0977" w:rsidRPr="00AE0977" w:rsidRDefault="00AE0977" w:rsidP="00E47E0E">
            <w:pPr>
              <w:spacing w:after="0" w:line="240" w:lineRule="auto"/>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Technology</w:t>
            </w:r>
            <w:r w:rsidR="007467C1">
              <w:rPr>
                <w:rFonts w:ascii="Fira Sans Light" w:eastAsia="Times New Roman" w:hAnsi="Fira Sans Light" w:cstheme="majorHAnsi"/>
                <w:color w:val="000000"/>
                <w:sz w:val="24"/>
                <w:szCs w:val="24"/>
              </w:rPr>
              <w:t>;</w:t>
            </w:r>
            <w:r w:rsidRPr="00AE0977">
              <w:rPr>
                <w:rFonts w:ascii="Fira Sans Light" w:eastAsia="Times New Roman" w:hAnsi="Fira Sans Light" w:cstheme="majorHAnsi"/>
                <w:color w:val="000000"/>
                <w:sz w:val="24"/>
                <w:szCs w:val="24"/>
              </w:rPr>
              <w:t xml:space="preserve"> </w:t>
            </w:r>
            <w:r w:rsidR="007467C1">
              <w:rPr>
                <w:rFonts w:ascii="Fira Sans Light" w:eastAsia="Times New Roman" w:hAnsi="Fira Sans Light" w:cstheme="majorHAnsi"/>
                <w:color w:val="000000"/>
                <w:sz w:val="24"/>
                <w:szCs w:val="24"/>
              </w:rPr>
              <w:t xml:space="preserve">Facilities </w:t>
            </w:r>
            <w:r w:rsidRPr="00AE0977">
              <w:rPr>
                <w:rFonts w:ascii="Fira Sans Light" w:eastAsia="Times New Roman" w:hAnsi="Fira Sans Light" w:cstheme="majorHAnsi"/>
                <w:color w:val="000000"/>
                <w:sz w:val="24"/>
                <w:szCs w:val="24"/>
              </w:rPr>
              <w:t xml:space="preserve">&amp; </w:t>
            </w:r>
            <w:r w:rsidR="007467C1">
              <w:rPr>
                <w:rFonts w:ascii="Fira Sans Light" w:eastAsia="Times New Roman" w:hAnsi="Fira Sans Light" w:cstheme="majorHAnsi"/>
                <w:color w:val="000000"/>
                <w:sz w:val="24"/>
                <w:szCs w:val="24"/>
              </w:rPr>
              <w:t xml:space="preserve">Infrastructure </w:t>
            </w:r>
            <w:r w:rsidRPr="00AE0977">
              <w:rPr>
                <w:rFonts w:ascii="Fira Sans Light" w:eastAsia="Times New Roman" w:hAnsi="Fira Sans Light" w:cstheme="majorHAnsi"/>
                <w:color w:val="000000"/>
                <w:sz w:val="24"/>
                <w:szCs w:val="24"/>
              </w:rPr>
              <w:t>(</w:t>
            </w:r>
            <w:r w:rsidR="00AA6DE3">
              <w:rPr>
                <w:rFonts w:ascii="Fira Sans Light" w:eastAsia="Times New Roman" w:hAnsi="Fira Sans Light" w:cstheme="majorHAnsi"/>
                <w:color w:val="000000"/>
                <w:sz w:val="24"/>
                <w:szCs w:val="24"/>
              </w:rPr>
              <w:t xml:space="preserve">Standards </w:t>
            </w:r>
            <w:r w:rsidRPr="00AE0977">
              <w:rPr>
                <w:rFonts w:ascii="Fira Sans Light" w:eastAsia="Times New Roman" w:hAnsi="Fira Sans Light" w:cstheme="majorHAnsi"/>
                <w:color w:val="000000"/>
                <w:sz w:val="24"/>
                <w:szCs w:val="24"/>
              </w:rPr>
              <w:t>11-12)</w:t>
            </w:r>
          </w:p>
        </w:tc>
        <w:tc>
          <w:tcPr>
            <w:tcW w:w="1080" w:type="dxa"/>
            <w:shd w:val="clear" w:color="auto" w:fill="auto"/>
            <w:noWrap/>
            <w:vAlign w:val="center"/>
            <w:hideMark/>
          </w:tcPr>
          <w:p w14:paraId="06AB3E0B" w14:textId="77777777" w:rsidR="00AE0977" w:rsidRPr="00AE0977" w:rsidRDefault="00AE0977" w:rsidP="00E47E0E">
            <w:pPr>
              <w:spacing w:after="0" w:line="240" w:lineRule="auto"/>
              <w:jc w:val="right"/>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90m</w:t>
            </w:r>
          </w:p>
        </w:tc>
        <w:tc>
          <w:tcPr>
            <w:tcW w:w="810" w:type="dxa"/>
            <w:shd w:val="clear" w:color="auto" w:fill="auto"/>
            <w:noWrap/>
            <w:vAlign w:val="center"/>
            <w:hideMark/>
          </w:tcPr>
          <w:p w14:paraId="7277D6A1" w14:textId="77777777" w:rsidR="00AE0977" w:rsidRPr="00AE0977" w:rsidRDefault="00AE0977" w:rsidP="00E47E0E">
            <w:pPr>
              <w:spacing w:after="0" w:line="240" w:lineRule="auto"/>
              <w:jc w:val="right"/>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45m</w:t>
            </w:r>
          </w:p>
        </w:tc>
      </w:tr>
      <w:tr w:rsidR="00AA6DE3" w:rsidRPr="00AE0977" w14:paraId="7AF952ED" w14:textId="77777777" w:rsidTr="00AA6DE3">
        <w:trPr>
          <w:trHeight w:val="300"/>
        </w:trPr>
        <w:tc>
          <w:tcPr>
            <w:tcW w:w="805" w:type="dxa"/>
            <w:shd w:val="clear" w:color="auto" w:fill="auto"/>
            <w:noWrap/>
            <w:vAlign w:val="center"/>
            <w:hideMark/>
          </w:tcPr>
          <w:p w14:paraId="79C188C7" w14:textId="25967141" w:rsidR="00AE0977" w:rsidRPr="00AE0977" w:rsidRDefault="00AE0977" w:rsidP="00E47E0E">
            <w:pPr>
              <w:spacing w:after="0" w:line="240" w:lineRule="auto"/>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8</w:t>
            </w:r>
          </w:p>
        </w:tc>
        <w:tc>
          <w:tcPr>
            <w:tcW w:w="8100" w:type="dxa"/>
            <w:shd w:val="clear" w:color="auto" w:fill="auto"/>
            <w:noWrap/>
            <w:vAlign w:val="center"/>
            <w:hideMark/>
          </w:tcPr>
          <w:p w14:paraId="10A9291D" w14:textId="77777777" w:rsidR="00AE0977" w:rsidRPr="00AE0977" w:rsidRDefault="00AE0977" w:rsidP="00E47E0E">
            <w:pPr>
              <w:spacing w:after="0" w:line="240" w:lineRule="auto"/>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Action Plan</w:t>
            </w:r>
          </w:p>
        </w:tc>
        <w:tc>
          <w:tcPr>
            <w:tcW w:w="1080" w:type="dxa"/>
            <w:shd w:val="clear" w:color="auto" w:fill="auto"/>
            <w:noWrap/>
            <w:vAlign w:val="center"/>
            <w:hideMark/>
          </w:tcPr>
          <w:p w14:paraId="449B09E3" w14:textId="77777777" w:rsidR="00AE0977" w:rsidRPr="00AE0977" w:rsidRDefault="00AE0977" w:rsidP="00E47E0E">
            <w:pPr>
              <w:spacing w:after="0" w:line="240" w:lineRule="auto"/>
              <w:jc w:val="right"/>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60m</w:t>
            </w:r>
          </w:p>
        </w:tc>
        <w:tc>
          <w:tcPr>
            <w:tcW w:w="810" w:type="dxa"/>
            <w:shd w:val="clear" w:color="auto" w:fill="auto"/>
            <w:noWrap/>
            <w:vAlign w:val="center"/>
            <w:hideMark/>
          </w:tcPr>
          <w:p w14:paraId="0AD726D4" w14:textId="77777777" w:rsidR="00AE0977" w:rsidRPr="00AE0977" w:rsidRDefault="00AE0977" w:rsidP="00E47E0E">
            <w:pPr>
              <w:spacing w:after="0" w:line="240" w:lineRule="auto"/>
              <w:jc w:val="right"/>
              <w:rPr>
                <w:rFonts w:ascii="Fira Sans Light" w:eastAsia="Times New Roman" w:hAnsi="Fira Sans Light" w:cstheme="majorHAnsi"/>
                <w:color w:val="000000"/>
                <w:sz w:val="24"/>
                <w:szCs w:val="24"/>
              </w:rPr>
            </w:pPr>
            <w:r w:rsidRPr="00AE0977">
              <w:rPr>
                <w:rFonts w:ascii="Fira Sans Light" w:eastAsia="Times New Roman" w:hAnsi="Fira Sans Light" w:cstheme="majorHAnsi"/>
                <w:color w:val="000000"/>
                <w:sz w:val="24"/>
                <w:szCs w:val="24"/>
              </w:rPr>
              <w:t>n/a</w:t>
            </w:r>
          </w:p>
        </w:tc>
      </w:tr>
      <w:tr w:rsidR="00AA6DE3" w:rsidRPr="00AE0977" w14:paraId="6AE8B81E" w14:textId="77777777" w:rsidTr="00AA6DE3">
        <w:trPr>
          <w:trHeight w:val="300"/>
        </w:trPr>
        <w:tc>
          <w:tcPr>
            <w:tcW w:w="805" w:type="dxa"/>
            <w:shd w:val="clear" w:color="auto" w:fill="auto"/>
            <w:noWrap/>
            <w:vAlign w:val="bottom"/>
            <w:hideMark/>
          </w:tcPr>
          <w:p w14:paraId="49EF4BFA" w14:textId="77777777" w:rsidR="00AE0977" w:rsidRPr="00AE0977" w:rsidRDefault="00AE0977" w:rsidP="00E47E0E">
            <w:pPr>
              <w:spacing w:after="0" w:line="240" w:lineRule="auto"/>
              <w:jc w:val="right"/>
              <w:rPr>
                <w:rFonts w:ascii="Fira Sans Light" w:eastAsia="Times New Roman" w:hAnsi="Fira Sans Light" w:cstheme="majorHAnsi"/>
                <w:color w:val="000000"/>
                <w:sz w:val="24"/>
                <w:szCs w:val="24"/>
              </w:rPr>
            </w:pPr>
          </w:p>
        </w:tc>
        <w:tc>
          <w:tcPr>
            <w:tcW w:w="8100" w:type="dxa"/>
            <w:shd w:val="clear" w:color="auto" w:fill="auto"/>
            <w:noWrap/>
            <w:vAlign w:val="center"/>
            <w:hideMark/>
          </w:tcPr>
          <w:p w14:paraId="21740DB9" w14:textId="65421036" w:rsidR="00AE0977" w:rsidRPr="00AA6DE3" w:rsidRDefault="00AE0977" w:rsidP="00E47E0E">
            <w:pPr>
              <w:spacing w:after="0" w:line="240" w:lineRule="auto"/>
              <w:rPr>
                <w:rFonts w:ascii="Fira Sans Light" w:eastAsia="Times New Roman" w:hAnsi="Fira Sans Light" w:cstheme="majorHAnsi"/>
                <w:b/>
                <w:bCs/>
                <w:color w:val="000000"/>
                <w:sz w:val="24"/>
                <w:szCs w:val="24"/>
              </w:rPr>
            </w:pPr>
            <w:r w:rsidRPr="00AE0977">
              <w:rPr>
                <w:rFonts w:ascii="Fira Sans Light" w:eastAsia="Times New Roman" w:hAnsi="Fira Sans Light" w:cstheme="majorHAnsi"/>
                <w:b/>
                <w:bCs/>
                <w:color w:val="000000"/>
                <w:sz w:val="24"/>
                <w:szCs w:val="24"/>
              </w:rPr>
              <w:t>Total Time (Hours):</w:t>
            </w:r>
          </w:p>
        </w:tc>
        <w:tc>
          <w:tcPr>
            <w:tcW w:w="1080" w:type="dxa"/>
            <w:shd w:val="clear" w:color="auto" w:fill="auto"/>
            <w:noWrap/>
            <w:vAlign w:val="center"/>
            <w:hideMark/>
          </w:tcPr>
          <w:p w14:paraId="7C3F34F7" w14:textId="77777777" w:rsidR="00AE0977" w:rsidRPr="00AE0977" w:rsidRDefault="00AE0977" w:rsidP="00E47E0E">
            <w:pPr>
              <w:spacing w:after="0" w:line="240" w:lineRule="auto"/>
              <w:jc w:val="right"/>
              <w:rPr>
                <w:rFonts w:ascii="Fira Sans Light" w:eastAsia="Times New Roman" w:hAnsi="Fira Sans Light" w:cstheme="majorHAnsi"/>
                <w:b/>
                <w:color w:val="000000"/>
                <w:sz w:val="24"/>
                <w:szCs w:val="24"/>
              </w:rPr>
            </w:pPr>
            <w:r w:rsidRPr="00AE0977">
              <w:rPr>
                <w:rFonts w:ascii="Fira Sans Light" w:eastAsia="Times New Roman" w:hAnsi="Fira Sans Light" w:cstheme="majorHAnsi"/>
                <w:b/>
                <w:color w:val="000000"/>
                <w:sz w:val="24"/>
                <w:szCs w:val="24"/>
              </w:rPr>
              <w:t>11h</w:t>
            </w:r>
          </w:p>
        </w:tc>
        <w:tc>
          <w:tcPr>
            <w:tcW w:w="810" w:type="dxa"/>
            <w:shd w:val="clear" w:color="auto" w:fill="auto"/>
            <w:noWrap/>
            <w:vAlign w:val="center"/>
            <w:hideMark/>
          </w:tcPr>
          <w:p w14:paraId="1FDFE1DE" w14:textId="77777777" w:rsidR="00AE0977" w:rsidRPr="00AE0977" w:rsidRDefault="00AE0977" w:rsidP="00E47E0E">
            <w:pPr>
              <w:spacing w:after="0" w:line="240" w:lineRule="auto"/>
              <w:jc w:val="right"/>
              <w:rPr>
                <w:rFonts w:ascii="Fira Sans Light" w:eastAsia="Times New Roman" w:hAnsi="Fira Sans Light" w:cstheme="majorHAnsi"/>
                <w:b/>
                <w:color w:val="000000"/>
                <w:sz w:val="24"/>
                <w:szCs w:val="24"/>
              </w:rPr>
            </w:pPr>
            <w:r w:rsidRPr="00AE0977">
              <w:rPr>
                <w:rFonts w:ascii="Fira Sans Light" w:eastAsia="Times New Roman" w:hAnsi="Fira Sans Light" w:cstheme="majorHAnsi"/>
                <w:b/>
                <w:color w:val="000000"/>
                <w:sz w:val="24"/>
                <w:szCs w:val="24"/>
              </w:rPr>
              <w:t>4.5h</w:t>
            </w:r>
          </w:p>
        </w:tc>
      </w:tr>
    </w:tbl>
    <w:p w14:paraId="02C28467" w14:textId="77777777" w:rsidR="00D830BB" w:rsidRDefault="00D830BB" w:rsidP="00D830BB">
      <w:pPr>
        <w:spacing w:after="0"/>
        <w:jc w:val="center"/>
        <w:rPr>
          <w:rFonts w:ascii="Fira Sans Light" w:hAnsi="Fira Sans Light" w:cstheme="majorHAnsi"/>
          <w:i/>
          <w:iCs/>
          <w:sz w:val="24"/>
          <w:szCs w:val="24"/>
        </w:rPr>
      </w:pPr>
    </w:p>
    <w:p w14:paraId="7AEA8508" w14:textId="21A6456F" w:rsidR="00D830BB" w:rsidRDefault="00AA6DE3" w:rsidP="00150F23">
      <w:pPr>
        <w:spacing w:after="0"/>
        <w:jc w:val="center"/>
        <w:rPr>
          <w:rStyle w:val="Hyperlink"/>
          <w:rFonts w:ascii="Fira Sans Light" w:hAnsi="Fira Sans Light" w:cstheme="majorHAnsi"/>
          <w:i/>
          <w:iCs/>
          <w:sz w:val="24"/>
          <w:szCs w:val="24"/>
        </w:rPr>
      </w:pPr>
      <w:r w:rsidRPr="00AA6DE3">
        <w:rPr>
          <w:rFonts w:ascii="Fira Sans Light" w:hAnsi="Fira Sans Light" w:cstheme="majorHAnsi"/>
          <w:i/>
          <w:iCs/>
          <w:sz w:val="24"/>
          <w:szCs w:val="24"/>
        </w:rPr>
        <w:t xml:space="preserve">Questions? Contact Matt Bryant, ESS Planning and Assessment Consultant, </w:t>
      </w:r>
      <w:hyperlink r:id="rId6" w:history="1">
        <w:r w:rsidRPr="00AA6DE3">
          <w:rPr>
            <w:rStyle w:val="Hyperlink"/>
            <w:rFonts w:ascii="Fira Sans Light" w:hAnsi="Fira Sans Light" w:cstheme="majorHAnsi"/>
            <w:i/>
            <w:iCs/>
            <w:sz w:val="24"/>
            <w:szCs w:val="24"/>
          </w:rPr>
          <w:t>matt.bryant@wwu.edu</w:t>
        </w:r>
      </w:hyperlink>
    </w:p>
    <w:p w14:paraId="6A176782" w14:textId="77777777" w:rsidR="00150F23" w:rsidRDefault="00150F23" w:rsidP="00D94413">
      <w:pPr>
        <w:spacing w:after="0"/>
        <w:jc w:val="center"/>
        <w:rPr>
          <w:rFonts w:ascii="Fira Sans Light" w:hAnsi="Fira Sans Light" w:cstheme="majorHAnsi"/>
          <w:color w:val="7F7F7F" w:themeColor="text1" w:themeTint="80"/>
          <w:sz w:val="24"/>
          <w:szCs w:val="24"/>
        </w:rPr>
      </w:pPr>
    </w:p>
    <w:p w14:paraId="646777F1" w14:textId="7A4CA9B4" w:rsidR="00D830BB" w:rsidRPr="00AD3F11" w:rsidRDefault="00D830BB" w:rsidP="00D94413">
      <w:pPr>
        <w:spacing w:after="0"/>
        <w:jc w:val="center"/>
        <w:rPr>
          <w:rStyle w:val="Hyperlink"/>
          <w:rFonts w:ascii="Fira Sans Light" w:hAnsi="Fira Sans Light" w:cstheme="majorHAnsi"/>
          <w:color w:val="7F7F7F" w:themeColor="text1" w:themeTint="80"/>
          <w:sz w:val="24"/>
          <w:szCs w:val="24"/>
          <w:u w:val="none"/>
        </w:rPr>
      </w:pPr>
      <w:r w:rsidRPr="00AD3F11">
        <w:rPr>
          <w:rFonts w:ascii="Fira Sans Light" w:hAnsi="Fira Sans Light" w:cstheme="majorHAnsi"/>
          <w:color w:val="7F7F7F" w:themeColor="text1" w:themeTint="80"/>
          <w:sz w:val="24"/>
          <w:szCs w:val="24"/>
        </w:rPr>
        <w:t xml:space="preserve">Last </w:t>
      </w:r>
      <w:r w:rsidR="00AD3F11" w:rsidRPr="00AD3F11">
        <w:rPr>
          <w:rFonts w:ascii="Fira Sans Light" w:hAnsi="Fira Sans Light" w:cstheme="majorHAnsi"/>
          <w:color w:val="7F7F7F" w:themeColor="text1" w:themeTint="80"/>
          <w:sz w:val="24"/>
          <w:szCs w:val="24"/>
        </w:rPr>
        <w:t>U</w:t>
      </w:r>
      <w:r w:rsidRPr="00AD3F11">
        <w:rPr>
          <w:rFonts w:ascii="Fira Sans Light" w:hAnsi="Fira Sans Light" w:cstheme="majorHAnsi"/>
          <w:color w:val="7F7F7F" w:themeColor="text1" w:themeTint="80"/>
          <w:sz w:val="24"/>
          <w:szCs w:val="24"/>
        </w:rPr>
        <w:t>pdated: 03/2024 (11</w:t>
      </w:r>
      <w:r w:rsidRPr="00AD3F11">
        <w:rPr>
          <w:rFonts w:ascii="Fira Sans Light" w:hAnsi="Fira Sans Light" w:cstheme="majorHAnsi"/>
          <w:color w:val="7F7F7F" w:themeColor="text1" w:themeTint="80"/>
          <w:sz w:val="24"/>
          <w:szCs w:val="24"/>
          <w:vertAlign w:val="superscript"/>
        </w:rPr>
        <w:t>th</w:t>
      </w:r>
      <w:r w:rsidRPr="00AD3F11">
        <w:rPr>
          <w:rFonts w:ascii="Fira Sans Light" w:hAnsi="Fira Sans Light" w:cstheme="majorHAnsi"/>
          <w:color w:val="7F7F7F" w:themeColor="text1" w:themeTint="80"/>
          <w:sz w:val="24"/>
          <w:szCs w:val="24"/>
        </w:rPr>
        <w:t xml:space="preserve"> Edition Standards)</w:t>
      </w:r>
    </w:p>
    <w:sectPr w:rsidR="00D830BB" w:rsidRPr="00AD3F11" w:rsidSect="009414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Fira Sans Light">
    <w:panose1 w:val="020B0403050000020004"/>
    <w:charset w:val="00"/>
    <w:family w:val="swiss"/>
    <w:pitch w:val="variable"/>
    <w:sig w:usb0="600002FF"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D4D69"/>
    <w:multiLevelType w:val="hybridMultilevel"/>
    <w:tmpl w:val="A7D29590"/>
    <w:lvl w:ilvl="0" w:tplc="4894BDD0">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73889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84"/>
    <w:rsid w:val="000B1FC1"/>
    <w:rsid w:val="00150F23"/>
    <w:rsid w:val="007467C1"/>
    <w:rsid w:val="008200B7"/>
    <w:rsid w:val="008A7CA3"/>
    <w:rsid w:val="00941484"/>
    <w:rsid w:val="00A86DD9"/>
    <w:rsid w:val="00AA6DE3"/>
    <w:rsid w:val="00AD3F11"/>
    <w:rsid w:val="00AE0977"/>
    <w:rsid w:val="00B67E3E"/>
    <w:rsid w:val="00BD1376"/>
    <w:rsid w:val="00C86E22"/>
    <w:rsid w:val="00D830BB"/>
    <w:rsid w:val="00D94413"/>
    <w:rsid w:val="00DF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077D"/>
  <w15:chartTrackingRefBased/>
  <w15:docId w15:val="{CFDE4467-A593-4716-8C5A-468A829D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484"/>
    <w:rPr>
      <w:kern w:val="0"/>
      <w14:ligatures w14:val="none"/>
    </w:rPr>
  </w:style>
  <w:style w:type="paragraph" w:styleId="Heading1">
    <w:name w:val="heading 1"/>
    <w:basedOn w:val="Normal"/>
    <w:next w:val="Normal"/>
    <w:link w:val="Heading1Char"/>
    <w:uiPriority w:val="9"/>
    <w:qFormat/>
    <w:rsid w:val="00AA6D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67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484"/>
    <w:pPr>
      <w:ind w:left="720"/>
      <w:contextualSpacing/>
    </w:pPr>
  </w:style>
  <w:style w:type="table" w:styleId="TableGrid">
    <w:name w:val="Table Grid"/>
    <w:basedOn w:val="TableNormal"/>
    <w:uiPriority w:val="39"/>
    <w:rsid w:val="0094148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484"/>
    <w:rPr>
      <w:color w:val="0563C1" w:themeColor="hyperlink"/>
      <w:u w:val="single"/>
    </w:rPr>
  </w:style>
  <w:style w:type="paragraph" w:customStyle="1" w:styleId="Default">
    <w:name w:val="Default"/>
    <w:rsid w:val="00941484"/>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Title">
    <w:name w:val="Title"/>
    <w:basedOn w:val="Normal"/>
    <w:next w:val="Normal"/>
    <w:link w:val="TitleChar"/>
    <w:uiPriority w:val="10"/>
    <w:qFormat/>
    <w:rsid w:val="009414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148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AA6DE3"/>
    <w:rPr>
      <w:color w:val="605E5C"/>
      <w:shd w:val="clear" w:color="auto" w:fill="E1DFDD"/>
    </w:rPr>
  </w:style>
  <w:style w:type="character" w:customStyle="1" w:styleId="Heading1Char">
    <w:name w:val="Heading 1 Char"/>
    <w:basedOn w:val="DefaultParagraphFont"/>
    <w:link w:val="Heading1"/>
    <w:uiPriority w:val="9"/>
    <w:rsid w:val="00AA6DE3"/>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7467C1"/>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bryant@wwu.edu" TargetMode="External"/><Relationship Id="rId5" Type="http://schemas.openxmlformats.org/officeDocument/2006/relationships/hyperlink" Target="http://www.ca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Bryant</dc:creator>
  <cp:keywords/>
  <dc:description/>
  <cp:lastModifiedBy>Matt Bryant</cp:lastModifiedBy>
  <cp:revision>7</cp:revision>
  <dcterms:created xsi:type="dcterms:W3CDTF">2024-03-14T17:12:00Z</dcterms:created>
  <dcterms:modified xsi:type="dcterms:W3CDTF">2024-03-14T23:12:00Z</dcterms:modified>
</cp:coreProperties>
</file>